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559A" w14:textId="2A08E5A8" w:rsidR="00B37C46" w:rsidRPr="00B37C46" w:rsidRDefault="00B37C46" w:rsidP="00B37C46">
      <w:pPr>
        <w:spacing w:line="240" w:lineRule="auto"/>
        <w:rPr>
          <w:rFonts w:eastAsiaTheme="majorEastAsia"/>
          <w:b/>
          <w:bCs/>
          <w:lang/>
        </w:rPr>
      </w:pPr>
      <w:r w:rsidRPr="00B37C46">
        <w:rPr>
          <w:rFonts w:eastAsiaTheme="majorEastAsia"/>
          <w:b/>
          <w:bCs/>
          <w:lang/>
        </w:rPr>
        <w:t>IMPACT OF EFFECTIVENESS OF THE CONCESSION ON SEAPORT EFFICIENCY IN TIN CAN ISLAND SEAPORT, APAPA, LAGOS STATE, NIGERIA</w:t>
      </w:r>
      <w:r w:rsidRPr="001B27EC">
        <w:t xml:space="preserve">                                      </w:t>
      </w:r>
    </w:p>
    <w:p w14:paraId="336DDB00" w14:textId="3056094C" w:rsidR="00B37C46" w:rsidRPr="002016C2" w:rsidRDefault="00B37C46" w:rsidP="00B37C46">
      <w:pPr>
        <w:pBdr>
          <w:top w:val="single" w:sz="4" w:space="1" w:color="auto"/>
          <w:bottom w:val="single" w:sz="4" w:space="1" w:color="auto"/>
        </w:pBdr>
        <w:spacing w:line="360" w:lineRule="auto"/>
        <w:ind w:firstLine="720"/>
        <w:rPr>
          <w:b/>
          <w:szCs w:val="24"/>
        </w:rPr>
      </w:pPr>
      <w:r w:rsidRPr="002016C2">
        <w:rPr>
          <w:szCs w:val="24"/>
        </w:rPr>
        <w:t xml:space="preserve">                                       </w:t>
      </w:r>
      <w:r w:rsidRPr="002016C2">
        <w:rPr>
          <w:szCs w:val="24"/>
        </w:rPr>
        <w:tab/>
      </w:r>
      <w:r w:rsidRPr="002016C2">
        <w:rPr>
          <w:szCs w:val="24"/>
        </w:rPr>
        <w:tab/>
      </w:r>
      <w:r>
        <w:rPr>
          <w:szCs w:val="24"/>
        </w:rPr>
        <w:tab/>
        <w:t xml:space="preserve"> </w:t>
      </w:r>
      <w:r>
        <w:rPr>
          <w:szCs w:val="24"/>
        </w:rPr>
        <w:t>DOSUNMU</w:t>
      </w:r>
      <w:r>
        <w:rPr>
          <w:szCs w:val="24"/>
        </w:rPr>
        <w:t xml:space="preserve">, </w:t>
      </w:r>
      <w:r>
        <w:rPr>
          <w:szCs w:val="24"/>
        </w:rPr>
        <w:t>V</w:t>
      </w:r>
      <w:r>
        <w:rPr>
          <w:szCs w:val="24"/>
        </w:rPr>
        <w:t xml:space="preserve">. </w:t>
      </w:r>
      <w:r>
        <w:rPr>
          <w:szCs w:val="24"/>
        </w:rPr>
        <w:t>A</w:t>
      </w:r>
      <w:r>
        <w:rPr>
          <w:szCs w:val="24"/>
        </w:rPr>
        <w:t xml:space="preserve">. and </w:t>
      </w:r>
      <w:r>
        <w:rPr>
          <w:szCs w:val="24"/>
        </w:rPr>
        <w:t>FAYEMIWO</w:t>
      </w:r>
      <w:r>
        <w:rPr>
          <w:szCs w:val="24"/>
        </w:rPr>
        <w:t xml:space="preserve">, </w:t>
      </w:r>
      <w:r>
        <w:rPr>
          <w:szCs w:val="24"/>
        </w:rPr>
        <w:t>F.O.</w:t>
      </w:r>
    </w:p>
    <w:p w14:paraId="1877519D" w14:textId="470BEF76" w:rsidR="00B37C46" w:rsidRPr="00B37C46" w:rsidRDefault="00B37C46" w:rsidP="00B37C46">
      <w:pPr>
        <w:spacing w:after="0" w:line="240" w:lineRule="auto"/>
        <w:rPr>
          <w:rFonts w:cs="Times New Roman"/>
          <w:i/>
          <w:iCs/>
          <w:sz w:val="22"/>
        </w:rPr>
      </w:pPr>
      <w:r w:rsidRPr="002016C2">
        <w:rPr>
          <w:b/>
          <w:szCs w:val="24"/>
        </w:rPr>
        <w:t xml:space="preserve">Abstract: </w:t>
      </w:r>
      <w:r w:rsidRPr="00B37C46">
        <w:rPr>
          <w:i/>
          <w:iCs/>
          <w:sz w:val="22"/>
        </w:rPr>
        <w:t>This study examined the impact of the effectiveness of port concession on seaport efficiency in Tin Can Island Seaport, Apapa, Lagos State, Nigeria. The research adopted a descriptive survey research design and utilised primary data collected through structured questionnaires administered to a sample size of 331 respondents. The study focused on evaluating how port concession has influenced operational efficiency, particularly in relation to port congestion. Data collected were analysed using the chi-square (χ²) statistical technique to test the stated hypothesis at a 5% level of significance with 4 degrees of freedom. The result showed that the calculated chi-square value (χ² = 71.01) was greater than the tabulated value (χ² = 7.11), leading to the rejection of the null hypothesis and acceptance of the alternative hypothesis. The findings revealed a significant relationship between port concession and port congestion, indicating that the effectiveness of concession arrangements plays a critical role in improving port operations and reducing congestion levels. The study concluded that port concession has a positive impact on seaport efficiency by enhancing service delivery, operational performance, and cargo-handling processes. It is therefore recommended that policymakers and port authorities strengthen concession frameworks, improve regulatory oversight, and invest in modern port infrastructure to sustain efficiency gains and further reduce congestion in Nigerian seaports.</w:t>
      </w:r>
    </w:p>
    <w:p w14:paraId="3482B9DF" w14:textId="47361FF1" w:rsidR="00B37C46" w:rsidRPr="00331399" w:rsidRDefault="00B37C46" w:rsidP="00B37C46">
      <w:pPr>
        <w:spacing w:after="0" w:line="240" w:lineRule="auto"/>
        <w:rPr>
          <w:rFonts w:cs="Times New Roman"/>
          <w:i/>
          <w:iCs/>
          <w:sz w:val="20"/>
          <w:szCs w:val="20"/>
        </w:rPr>
      </w:pPr>
      <w:r w:rsidRPr="0066642C">
        <w:rPr>
          <w:rFonts w:cs="Times New Roman"/>
          <w:b/>
          <w:bCs/>
          <w:szCs w:val="24"/>
        </w:rPr>
        <w:t>Keywords:</w:t>
      </w:r>
      <w:r w:rsidRPr="00331399">
        <w:rPr>
          <w:rFonts w:cs="Times New Roman"/>
          <w:i/>
          <w:iCs/>
          <w:sz w:val="20"/>
          <w:szCs w:val="20"/>
        </w:rPr>
        <w:t xml:space="preserve"> </w:t>
      </w:r>
      <w:r w:rsidRPr="00B37C46">
        <w:rPr>
          <w:rStyle w:val="Strong"/>
          <w:rFonts w:eastAsiaTheme="majorEastAsia"/>
          <w:b w:val="0"/>
          <w:bCs w:val="0"/>
          <w:i/>
          <w:iCs/>
          <w:sz w:val="22"/>
        </w:rPr>
        <w:t>Concession, Seaport Efficiency, Tin Can Island, Apapa, Lagos State, Nigeria</w:t>
      </w:r>
      <w:r w:rsidRPr="0066642C">
        <w:rPr>
          <w:rFonts w:cs="Times New Roman"/>
          <w:i/>
          <w:iCs/>
          <w:sz w:val="20"/>
          <w:szCs w:val="20"/>
          <w:lang w:val="en-US"/>
        </w:rPr>
        <w:t>.</w:t>
      </w:r>
    </w:p>
    <w:p w14:paraId="49CD2F1A" w14:textId="77777777" w:rsidR="00B37C46" w:rsidRDefault="00B37C46" w:rsidP="00B37C46">
      <w:pPr>
        <w:pStyle w:val="NormalWeb"/>
        <w:spacing w:line="276" w:lineRule="auto"/>
      </w:pPr>
      <w:r>
        <w:rPr>
          <w:rStyle w:val="Strong"/>
          <w:rFonts w:eastAsiaTheme="majorEastAsia"/>
        </w:rPr>
        <w:t>Introduction</w:t>
      </w:r>
    </w:p>
    <w:p w14:paraId="5F94C552" w14:textId="77777777" w:rsidR="00B37C46" w:rsidRDefault="00B37C46" w:rsidP="00B37C46">
      <w:pPr>
        <w:pStyle w:val="NormalWeb"/>
        <w:spacing w:line="276" w:lineRule="auto"/>
        <w:jc w:val="both"/>
      </w:pPr>
      <w:r>
        <w:t>The impact of port concession on shipping operation defined in the last three years (e.g., since 2019) of takeover of ports operations has been impressive and wonderful in terms of operational performance and functioning, such as vessels' discharge rate, operational documentation, cargo delivery process and customers' job satisfaction. The segmentation of port operations in line with different terminal operators' agendas, visions and missions has been the best thing that happened to the ports industry. Presently, the concept of a port-restricting process is to achieve efficiency and make our ports productive within their operational environment. The ports have witnessed some negative operational vices that do not go with the tenets of world maritime operational standards and modalities. To this end, the port and its operations require some sort of reforms to reshape the system and the services, as they weren't the best (</w:t>
      </w:r>
      <w:proofErr w:type="spellStart"/>
      <w:r>
        <w:t>Ndikom</w:t>
      </w:r>
      <w:proofErr w:type="spellEnd"/>
      <w:r>
        <w:t xml:space="preserve"> 2007).</w:t>
      </w:r>
    </w:p>
    <w:p w14:paraId="6962C290" w14:textId="77777777" w:rsidR="00B37C46" w:rsidRDefault="00B37C46" w:rsidP="00B37C46">
      <w:pPr>
        <w:pStyle w:val="NormalWeb"/>
        <w:spacing w:line="276" w:lineRule="auto"/>
        <w:jc w:val="both"/>
      </w:pPr>
      <w:r>
        <w:t>Over the years, port sector reform has, therefore, become an important challenge faced by ports whose countries are undergoing economic restructuring or facing financial austerity. Incidentally, private sector participation has witnessed much less foreign investment in Nigeria's shipping sector, which has been muted because of disincentives like high capital flight and debt costs in Nigeria's financial market (</w:t>
      </w:r>
      <w:proofErr w:type="spellStart"/>
      <w:r>
        <w:t>Ndikom</w:t>
      </w:r>
      <w:proofErr w:type="spellEnd"/>
      <w:r>
        <w:t xml:space="preserve">, 2004). The agenda of fiscal reforms for the shipping and maritime sector is more lucrative in terms of tax concessions and has adopted a more market-friendly policy culminating in the concession of port terminals to private concessionaires. Over a decade ago, the government initiated well-syndicated structural reforms in our ports due to obvious lopsided malfunctioning of the system, culminating in serious fraudulent sharp practice and other </w:t>
      </w:r>
      <w:r>
        <w:lastRenderedPageBreak/>
        <w:t>operational vices that have affected efficiency and productivity of the port at the end (</w:t>
      </w:r>
      <w:proofErr w:type="spellStart"/>
      <w:r>
        <w:t>Ndikom</w:t>
      </w:r>
      <w:proofErr w:type="spellEnd"/>
      <w:r>
        <w:t xml:space="preserve"> 2005).</w:t>
      </w:r>
    </w:p>
    <w:p w14:paraId="0CCEFE1C" w14:textId="77777777" w:rsidR="00B37C46" w:rsidRDefault="00B37C46" w:rsidP="00B37C46">
      <w:pPr>
        <w:pStyle w:val="NormalWeb"/>
        <w:spacing w:line="276" w:lineRule="auto"/>
        <w:jc w:val="both"/>
      </w:pPr>
      <w:r>
        <w:t>The emerging post-port reform process of government and its attendant institutional restructuring over the last five years (i.e., 2017) provided efficient forms of port administration and management, which also have become the first priority for improved port performance. Port reforms are policy measures by government that are aimed at revitalising and strengthening operational and functional modalities at the ports, thereby resulting in increased efficiency and productivity (Bryan and Farrel 1996). Reforms in the ports call for extensive modernisation of the port system and require proper transportation of the sector from a labour-intensive to an autonomous system for the purpose of increasing the turn-round time of vessels as well as the cargo delivery process and thus increasing the efficiency of the port. Obviously, the ongoing reform in the ports is in line with the federal government policy, which adopted the landlord model of port management (</w:t>
      </w:r>
      <w:proofErr w:type="spellStart"/>
      <w:r>
        <w:t>Ndikom</w:t>
      </w:r>
      <w:proofErr w:type="spellEnd"/>
      <w:r>
        <w:t>, 2004).</w:t>
      </w:r>
    </w:p>
    <w:p w14:paraId="7BF72BF2" w14:textId="77777777" w:rsidR="00B37C46" w:rsidRDefault="00B37C46" w:rsidP="00B37C46">
      <w:pPr>
        <w:pStyle w:val="NormalWeb"/>
        <w:spacing w:line="276" w:lineRule="auto"/>
      </w:pPr>
      <w:r>
        <w:rPr>
          <w:rStyle w:val="Strong"/>
          <w:rFonts w:eastAsiaTheme="majorEastAsia"/>
        </w:rPr>
        <w:t>Statement of the Problem</w:t>
      </w:r>
    </w:p>
    <w:p w14:paraId="545DD075" w14:textId="77777777" w:rsidR="00B37C46" w:rsidRDefault="00B37C46" w:rsidP="00B37C46">
      <w:pPr>
        <w:pStyle w:val="NormalWeb"/>
        <w:spacing w:line="276" w:lineRule="auto"/>
        <w:jc w:val="both"/>
      </w:pPr>
      <w:r>
        <w:t>During the 1990s and prior to concession, Nigerian seaports were considered inefficient and unsafe due to massive cargo thefts (the wharf rat phenomenon) and were among the most expensive ports in the world. Also, the ports in Lagos were notorious for congestion that led to the continuing imposition of congestion surcharges and the high cost of imports, resulting in long turnaround times for ships and increased container dwell times (Leigland &amp; Palsson, 2007). Instead of the international standard of a 48-hour ship turnaround time in most Asian and European ports, as observed by Ducruet and Merk (2012), it took weeks to load and unload ships in Nigerian ports. There were also problems of an overblown workforce, excessive port charges and too many agencies involved in cargo clearing. In addition, the port infrastructure and superstructure had become obsolete and in a state of disrepair and in need of rehabilitation. The government was unwilling to provide the enormous financial outlay required in financing the restoration of port infrastructure due to existing operational inefficiency and corruption; therefore, the need for external financing became apparent. This makes it imperative for an in-depth study on the impact of the effectiveness of the concession on seaport efficiency in Tin Can Island Seaport, Apapa, Lagos State, Nigeria.</w:t>
      </w:r>
    </w:p>
    <w:p w14:paraId="2E1307EC" w14:textId="77777777" w:rsidR="00B37C46" w:rsidRDefault="00B37C46" w:rsidP="00B37C46">
      <w:pPr>
        <w:pStyle w:val="NormalWeb"/>
        <w:spacing w:line="276" w:lineRule="auto"/>
      </w:pPr>
      <w:r>
        <w:rPr>
          <w:rStyle w:val="Strong"/>
          <w:rFonts w:eastAsiaTheme="majorEastAsia"/>
        </w:rPr>
        <w:t>Objective of the Study</w:t>
      </w:r>
    </w:p>
    <w:p w14:paraId="2B23C665" w14:textId="77777777" w:rsidR="00B37C46" w:rsidRDefault="00B37C46" w:rsidP="00B37C46">
      <w:pPr>
        <w:pStyle w:val="NormalWeb"/>
        <w:spacing w:line="276" w:lineRule="auto"/>
        <w:jc w:val="both"/>
      </w:pPr>
      <w:r>
        <w:t>The general objective of the study is to examine the impact of the effectiveness of the concession on seaport efficiency in Tin Can Island Seaport, Apapa, Lagos State, Nigeria.</w:t>
      </w:r>
    </w:p>
    <w:p w14:paraId="20395D91" w14:textId="77777777" w:rsidR="00B37C46" w:rsidRDefault="00B37C46" w:rsidP="00B37C46">
      <w:pPr>
        <w:pStyle w:val="NormalWeb"/>
        <w:spacing w:line="276" w:lineRule="auto"/>
        <w:jc w:val="both"/>
      </w:pPr>
    </w:p>
    <w:p w14:paraId="1F590549" w14:textId="77777777" w:rsidR="00B37C46" w:rsidRDefault="00B37C46" w:rsidP="00B37C46">
      <w:pPr>
        <w:pStyle w:val="NormalWeb"/>
        <w:spacing w:line="276" w:lineRule="auto"/>
        <w:jc w:val="both"/>
      </w:pPr>
    </w:p>
    <w:p w14:paraId="167EEC7B" w14:textId="77777777" w:rsidR="00B37C46" w:rsidRDefault="00B37C46" w:rsidP="00B37C46">
      <w:pPr>
        <w:pStyle w:val="NormalWeb"/>
        <w:spacing w:line="276" w:lineRule="auto"/>
      </w:pPr>
      <w:r>
        <w:rPr>
          <w:rStyle w:val="Strong"/>
          <w:rFonts w:eastAsiaTheme="majorEastAsia"/>
        </w:rPr>
        <w:lastRenderedPageBreak/>
        <w:t>2.0 Literature review</w:t>
      </w:r>
    </w:p>
    <w:p w14:paraId="1E42F1B8" w14:textId="77777777" w:rsidR="00B37C46" w:rsidRDefault="00B37C46" w:rsidP="00B37C46">
      <w:pPr>
        <w:pStyle w:val="NormalWeb"/>
        <w:spacing w:line="276" w:lineRule="auto"/>
      </w:pPr>
      <w:r>
        <w:rPr>
          <w:rStyle w:val="Strong"/>
          <w:rFonts w:eastAsiaTheme="majorEastAsia"/>
        </w:rPr>
        <w:t>Review of Previous Studies</w:t>
      </w:r>
    </w:p>
    <w:p w14:paraId="093FDAD1" w14:textId="77777777" w:rsidR="00B37C46" w:rsidRDefault="00B37C46" w:rsidP="00B37C46">
      <w:pPr>
        <w:pStyle w:val="NormalWeb"/>
        <w:spacing w:line="276" w:lineRule="auto"/>
        <w:jc w:val="both"/>
      </w:pPr>
      <w:proofErr w:type="spellStart"/>
      <w:r>
        <w:t>Mengying</w:t>
      </w:r>
      <w:proofErr w:type="spellEnd"/>
      <w:r>
        <w:t xml:space="preserve"> Feng (2010), A Comparative Study of Ports and Their Hinterlands: Factors Determining Port Performance and Choice, shows that the research methodology used was that of mixed methods to collect both qualitative and quantitative data in two port regions (China and the UK) and was carried out in two phases. The research was exploratory regarding the factors that determine port performance. It is also concerned with investigating these factors across port regions. Mixed methods are utilised in this research to achieve the listed research objectives by both qualitative and quantitative data. Mixed methods are regarded in this research as appropriate and consistent with the nature of interpretivist and positivist enquiry. The findings of this research suggest that ports wishing to outperform competitors can do so by improving the factors that are of high importance but currently perform poorly. This could also be achieved by improving performances on shipping services, shipping prices, overall logistics costs, logistics services and government support in descending order, which is based on factor evaluation in this research.</w:t>
      </w:r>
    </w:p>
    <w:p w14:paraId="71BA3587" w14:textId="77777777" w:rsidR="00B37C46" w:rsidRDefault="00B37C46" w:rsidP="00B37C46">
      <w:pPr>
        <w:pStyle w:val="NormalWeb"/>
        <w:spacing w:line="276" w:lineRule="auto"/>
        <w:jc w:val="both"/>
      </w:pPr>
      <w:r>
        <w:t xml:space="preserve">The thesis further analyses this result within the context of urgent, salient and basic factors based on IPA, including explicit &amp; implicit importance. Shipping services and cost have a critical effect on port performance. Differences in port charges are the most significant differences in factor importance at the case ports of the Humber and Xiamen. Government support has the most significant differences in factor performance between the two case ports. </w:t>
      </w:r>
      <w:proofErr w:type="spellStart"/>
      <w:r>
        <w:t>Tongzon</w:t>
      </w:r>
      <w:proofErr w:type="spellEnd"/>
      <w:r>
        <w:t xml:space="preserve"> (1995), the study on determinants of port performance and efficiency, used a mixed-methods methodology to collect both qualitative and quantitative data. The study revealed that the size of the ports, location and the level of economic activity are the determinants of port performance. Also, port performance is also affected by external factors such as political interference, poor infrastructure, and shortage of equipment. </w:t>
      </w:r>
      <w:proofErr w:type="spellStart"/>
      <w:r>
        <w:t>Tongzon</w:t>
      </w:r>
      <w:proofErr w:type="spellEnd"/>
      <w:r>
        <w:t xml:space="preserve"> (2007) conducted an empirical study in Singapore ports with manufacturers and third-party logistics providers (3PLs) and subsequently conducted another empirical study in the Association of South-East Asian Nations (ASEAN) region, attempting to identify the determinants of port competitiveness. He noted that the factors of cost of production, management quality, prices, quality of the service, exchange rates, government policies, political stability, investments in human and physical infrastructure, centrality or proximity to markets would decide the international competitiveness of ports.</w:t>
      </w:r>
    </w:p>
    <w:p w14:paraId="0FA45F54" w14:textId="77777777" w:rsidR="00B37C46" w:rsidRDefault="00B37C46" w:rsidP="00B37C46">
      <w:pPr>
        <w:pStyle w:val="NormalWeb"/>
        <w:spacing w:line="276" w:lineRule="auto"/>
        <w:jc w:val="both"/>
      </w:pPr>
      <w:r>
        <w:t xml:space="preserve">Yeo et al. (2008; 2010) conducted an empirical study in China and South Korea with carriers and port operators, and the study results revealed that port service, hinterland condition, availability, convenience, logistics cost, regional centre and connectivity are the determining factors in Northeast Asia. Cullinane et al. (2005) and Comtois and Dong (2007) analysed port competition between Shanghai and Ningbo, which share the same hinterland. They identified that low price, quality of services, central government policies on regional development, natural endowments (particularly depth of water), good inland transport infrastructure and logistical systems, growing </w:t>
      </w:r>
      <w:r>
        <w:lastRenderedPageBreak/>
        <w:t>cargo resources and leading liners such as Maersk and K-Line contributed to ports' competitiveness.</w:t>
      </w:r>
    </w:p>
    <w:p w14:paraId="2FE9C08E" w14:textId="77777777" w:rsidR="00B37C46" w:rsidRDefault="00B37C46" w:rsidP="00B37C46">
      <w:pPr>
        <w:pStyle w:val="NormalWeb"/>
        <w:spacing w:line="276" w:lineRule="auto"/>
        <w:jc w:val="both"/>
      </w:pPr>
      <w:r>
        <w:t>Port capabilities and performance vary across the world. Singapore ports are proud of their port efficiency. For example, Singapore's vessel turnaround time is less than 10 hours; Singapore has high productivity per quay metre; and the number of annual transactions is 8 million (</w:t>
      </w:r>
      <w:proofErr w:type="spellStart"/>
      <w:r>
        <w:t>Tongzon</w:t>
      </w:r>
      <w:proofErr w:type="spellEnd"/>
      <w:r>
        <w:t>, 2007). Hong Kong is well known as a free trade port. Shanghai is known as the number one port in terms of total cargo volume and number three in terms of container traffic worldwide (AAP 2009), benefiting from huge logistics demand from its large hinterlands. Rotterdam is known as the door to Europe, resulting from its huge transhipment volume from/to the European continent.</w:t>
      </w:r>
    </w:p>
    <w:p w14:paraId="358CD36A" w14:textId="77777777" w:rsidR="00B37C46" w:rsidRDefault="00B37C46" w:rsidP="00B37C46">
      <w:pPr>
        <w:pStyle w:val="NormalWeb"/>
        <w:spacing w:line="276" w:lineRule="auto"/>
        <w:jc w:val="both"/>
      </w:pPr>
      <w:r>
        <w:t>The Influence of Hinterland Transport Inefficiencies on the Performance of Ports (A Case Study of Kenya Ports Authority) by Charles Kipkoech Kotut, 2014. The researcher employed descriptive research to describe the state of affairs as it exists and a stratified sampling method to reach the most representative respondents in the study universe of fifty-eight respondents covering port users and clearing and forwarding agents, port officials and leading transport and logistics organisations.</w:t>
      </w:r>
    </w:p>
    <w:p w14:paraId="76975C73" w14:textId="77777777" w:rsidR="00B37C46" w:rsidRDefault="00B37C46" w:rsidP="00B37C46">
      <w:pPr>
        <w:pStyle w:val="NormalWeb"/>
        <w:spacing w:line="276" w:lineRule="auto"/>
        <w:jc w:val="both"/>
      </w:pPr>
      <w:r>
        <w:t>The findings of the research effectively revealed that the influence of hinterland transport inefficiencies on performance by KP A was glaring. Northern corridor inefficiencies were found to contribute to slow uptake of cargo into the hinterland, leading to high truck turnaround time and, therefore, high cargo dwell time at the port, leading to a conclusion that, indeed, hinterland transport connectivity plays a significant role in the success of ports. Assessment of port-characterising factors influencing port performance (a case study of Tanga Port) by Mapunda, Denis, 2011. Descriptive research is the research design used in this study; cross-sectional is used to obtain information concerning the current status of the phenomena to describe "what exists" with respect to variables or conditions in a situation. The quantitative rather than the qualitative research method of investigation has been applied. Most of the data collected for the study were many numbers which definitely needed quantitative treatments.</w:t>
      </w:r>
    </w:p>
    <w:p w14:paraId="27C2AAE7" w14:textId="77777777" w:rsidR="00B37C46" w:rsidRDefault="00B37C46" w:rsidP="00B37C46">
      <w:pPr>
        <w:pStyle w:val="NormalWeb"/>
        <w:spacing w:line="276" w:lineRule="auto"/>
        <w:jc w:val="both"/>
      </w:pPr>
      <w:r>
        <w:t>Findings of the study were confirmed to be the positive impact of the geographical location of the port, frequency of ship calls, and level of economic activities as measured by the Gross Domestic Product (GDP) of respective countries which use the port, while government taxes and port charges and cargo mix impact port performance. Finally, the researcher came up with various issues affecting the port performance, like staff motivation and implementation of good corporate governance.</w:t>
      </w:r>
    </w:p>
    <w:p w14:paraId="722334F5" w14:textId="77777777" w:rsidR="00B37C46" w:rsidRDefault="00B37C46" w:rsidP="00B37C46">
      <w:pPr>
        <w:pStyle w:val="NormalWeb"/>
        <w:spacing w:line="276" w:lineRule="auto"/>
      </w:pPr>
      <w:r>
        <w:rPr>
          <w:rStyle w:val="Strong"/>
          <w:rFonts w:eastAsiaTheme="majorEastAsia"/>
        </w:rPr>
        <w:t>Methodology</w:t>
      </w:r>
    </w:p>
    <w:p w14:paraId="4BB3A16D" w14:textId="77777777" w:rsidR="00B37C46" w:rsidRDefault="00B37C46" w:rsidP="00B37C46">
      <w:pPr>
        <w:pStyle w:val="NormalWeb"/>
        <w:spacing w:line="276" w:lineRule="auto"/>
        <w:jc w:val="both"/>
      </w:pPr>
      <w:r>
        <w:t xml:space="preserve">The study adopted a descriptive survey research design. The study population is the staff of the container terminals in </w:t>
      </w:r>
      <w:proofErr w:type="spellStart"/>
      <w:r>
        <w:t>Tincan</w:t>
      </w:r>
      <w:proofErr w:type="spellEnd"/>
      <w:r>
        <w:t xml:space="preserve"> Island Port Complex. This research required a detailed study of the impact of port concessions on shipping operations in order to obtain informed responses to </w:t>
      </w:r>
      <w:r>
        <w:lastRenderedPageBreak/>
        <w:t>questionnaires. Considering the population size, which is large, and to reduce the size of the population to a manageable size. The researcher used Taro Yamane's formula to determine the sample size to be used for the study. Data collected for a specific purpose are known as primary data. The collection of facts and figures as designed in the questionnaire for this study and interview of the respondents is the source of primary data for this study. The data gathered from the survey questionnaires was analysed using SPSS for the determination of frequency tables and tests of significance. In enhancing clarity and easy comprehension of the data generated, descriptive statistics were used to summarise the data generated. The option which was highest in the presentation was favoured. Hypotheses were tested using chi-square (x²).</w:t>
      </w:r>
    </w:p>
    <w:p w14:paraId="4544A757" w14:textId="77777777" w:rsidR="00B37C46" w:rsidRDefault="00B37C46" w:rsidP="00B37C46">
      <w:pPr>
        <w:pStyle w:val="NormalWeb"/>
        <w:spacing w:line="276" w:lineRule="auto"/>
        <w:jc w:val="both"/>
      </w:pPr>
      <w:r>
        <w:rPr>
          <w:rStyle w:val="Strong"/>
          <w:rFonts w:eastAsiaTheme="majorEastAsia"/>
        </w:rPr>
        <w:t>Results and discussion</w:t>
      </w:r>
    </w:p>
    <w:p w14:paraId="75D49F27" w14:textId="77777777" w:rsidR="00B37C46" w:rsidRDefault="00B37C46" w:rsidP="00B37C46">
      <w:pPr>
        <w:pStyle w:val="NormalWeb"/>
        <w:spacing w:line="276" w:lineRule="auto"/>
        <w:jc w:val="both"/>
      </w:pPr>
      <w:r>
        <w:t>Table 1 above showed that 123 respondents of the sample, representing 37.1%, strongly agreed; 89 respondents of the sample, representing 26.8%, agreed; 67 respondents of the sample, representing 20.2%, disagreed; while 52 respondents of the sample, representing 15.7%, strongly disagreed that the government policy of concessioning is better for marine industries. 189 respondents of the sample, representing 57.0%, strongly agreed; 105 respondents of the sample, representing 31.7%, agreed; 27 respondents of the sample, representing 8.1%, disagreed; while 10 respondents of the sample, representing 3.02%, strongly disagreed that 218 respondents of the sample, representing 65.8%, strongly agreed, 67 respondents of the sample, representing 20.2%, agreed, 30 respondents of the sample, representing 9.0%, disagreed, while 16 respondents of the sample, representing 4.8%, strongly disagreed that there is great competition in the maritime environment during the port concessioning era.</w:t>
      </w:r>
    </w:p>
    <w:p w14:paraId="78EA803E" w14:textId="77777777" w:rsidR="00B37C46" w:rsidRDefault="00B37C46" w:rsidP="00B37C46">
      <w:pPr>
        <w:pStyle w:val="NormalWeb"/>
        <w:spacing w:line="276" w:lineRule="auto"/>
        <w:jc w:val="both"/>
      </w:pPr>
      <w:r>
        <w:t>Also, 111 respondents of the sample, representing 33.5%, strongly agreed; 121 respondents of the sample, representing 36.5%, agreed; 76 respondents of the sample, representing 22.9%, disagreed, while 23 respondents of the sample, representing 6.9%, strongly disagreed that concessionaires are able to combat the problem of port congestion. 127 respondents of the sample, representing 38.3%, strongly agreed; 145 respondents of the sample, representing 43.8%, agreed; 54 respondents of the sample, representing 16.3%, disagreed; while 5 respondents of the sample, representing 1.5%, strongly disagreed that berths are equipped with adequate and modern facilities and port performance can be improved. 158 respondents of the sample, representing 47.7%, strongly agreed; 145 respondents of the sample, representing 43.8%, agreed; 20 respondents of the sample, representing 6.0%, disagreed; while 8 respondents of the sample, representing 2.4%, strongly disagreed that seaports are equipped with adequate facilities and port performance can be improved. 113 respondents of the sample, representing 34.31%, strongly agreed; 165 respondents of the sample, representing 49.8%, agreed; 43 respondents of the sample, representing 12.9%, disagreed; and 10 respondents of the sample, representing 3.02%, strongly disagreed that port performance indicators and benchmarks are real means of measuring port performance.</w:t>
      </w:r>
    </w:p>
    <w:p w14:paraId="0A0938D7" w14:textId="77777777" w:rsidR="00B37C46" w:rsidRDefault="00B37C46" w:rsidP="00B37C46">
      <w:pPr>
        <w:pStyle w:val="NormalWeb"/>
        <w:rPr>
          <w:rStyle w:val="Strong"/>
          <w:rFonts w:eastAsiaTheme="majorEastAsia"/>
        </w:rPr>
      </w:pPr>
    </w:p>
    <w:p w14:paraId="5746CC13" w14:textId="352C92D1" w:rsidR="00B37C46" w:rsidRDefault="00B37C46" w:rsidP="00B37C46">
      <w:pPr>
        <w:pStyle w:val="NormalWeb"/>
        <w:rPr>
          <w:b/>
          <w:color w:val="000000"/>
          <w:shd w:val="clear" w:color="auto" w:fill="FEFFFF"/>
        </w:rPr>
      </w:pPr>
      <w:r>
        <w:rPr>
          <w:rStyle w:val="Strong"/>
          <w:rFonts w:eastAsiaTheme="majorEastAsia"/>
        </w:rPr>
        <w:lastRenderedPageBreak/>
        <w:t>  </w:t>
      </w:r>
      <w:r>
        <w:rPr>
          <w:b/>
        </w:rPr>
        <w:t xml:space="preserve">Table 1: </w:t>
      </w:r>
      <w:r>
        <w:rPr>
          <w:b/>
          <w:color w:val="000000"/>
          <w:shd w:val="clear" w:color="auto" w:fill="FEFFFF"/>
        </w:rPr>
        <w:t>Effectiveness of the Co</w:t>
      </w:r>
      <w:r>
        <w:rPr>
          <w:b/>
          <w:color w:val="000000"/>
          <w:shd w:val="clear" w:color="auto" w:fill="FEFEFF"/>
        </w:rPr>
        <w:t>ncession on Sea Port Efficiency</w:t>
      </w:r>
    </w:p>
    <w:tbl>
      <w:tblPr>
        <w:tblStyle w:val="TableGrid"/>
        <w:tblW w:w="8647" w:type="dxa"/>
        <w:tblInd w:w="-5" w:type="dxa"/>
        <w:tblLook w:val="04A0" w:firstRow="1" w:lastRow="0" w:firstColumn="1" w:lastColumn="0" w:noHBand="0" w:noVBand="1"/>
      </w:tblPr>
      <w:tblGrid>
        <w:gridCol w:w="424"/>
        <w:gridCol w:w="3654"/>
        <w:gridCol w:w="1134"/>
        <w:gridCol w:w="996"/>
        <w:gridCol w:w="1189"/>
        <w:gridCol w:w="1250"/>
      </w:tblGrid>
      <w:tr w:rsidR="00B37C46" w14:paraId="447FFD4E" w14:textId="77777777" w:rsidTr="00566D79">
        <w:tc>
          <w:tcPr>
            <w:tcW w:w="424" w:type="dxa"/>
          </w:tcPr>
          <w:p w14:paraId="520FD0FD" w14:textId="77777777" w:rsidR="00B37C46" w:rsidRDefault="00B37C46" w:rsidP="00566D79">
            <w:pPr>
              <w:contextualSpacing/>
              <w:jc w:val="center"/>
              <w:rPr>
                <w:rFonts w:cs="Times New Roman"/>
                <w:color w:val="000000"/>
                <w:szCs w:val="24"/>
                <w:shd w:val="clear" w:color="auto" w:fill="FEFFFF"/>
              </w:rPr>
            </w:pPr>
          </w:p>
        </w:tc>
        <w:tc>
          <w:tcPr>
            <w:tcW w:w="3654" w:type="dxa"/>
          </w:tcPr>
          <w:p w14:paraId="43D15CD1" w14:textId="77777777" w:rsidR="00B37C46" w:rsidRDefault="00B37C46" w:rsidP="00566D79">
            <w:pPr>
              <w:contextualSpacing/>
              <w:rPr>
                <w:rFonts w:cs="Times New Roman"/>
                <w:color w:val="000000"/>
                <w:szCs w:val="24"/>
                <w:shd w:val="clear" w:color="auto" w:fill="FEFFFF"/>
              </w:rPr>
            </w:pPr>
          </w:p>
        </w:tc>
        <w:tc>
          <w:tcPr>
            <w:tcW w:w="1134" w:type="dxa"/>
          </w:tcPr>
          <w:p w14:paraId="51E28EC6"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Strongly Agreed </w:t>
            </w:r>
          </w:p>
        </w:tc>
        <w:tc>
          <w:tcPr>
            <w:tcW w:w="996" w:type="dxa"/>
          </w:tcPr>
          <w:p w14:paraId="7B8C1B64"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Agreed</w:t>
            </w:r>
          </w:p>
        </w:tc>
        <w:tc>
          <w:tcPr>
            <w:tcW w:w="1189" w:type="dxa"/>
          </w:tcPr>
          <w:p w14:paraId="4903C6E2"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Disagreed</w:t>
            </w:r>
          </w:p>
        </w:tc>
        <w:tc>
          <w:tcPr>
            <w:tcW w:w="1250" w:type="dxa"/>
          </w:tcPr>
          <w:p w14:paraId="30F1BA2C"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Strongly Disagreed</w:t>
            </w:r>
          </w:p>
        </w:tc>
      </w:tr>
      <w:tr w:rsidR="00B37C46" w14:paraId="390F6504" w14:textId="77777777" w:rsidTr="00566D79">
        <w:tc>
          <w:tcPr>
            <w:tcW w:w="424" w:type="dxa"/>
          </w:tcPr>
          <w:p w14:paraId="7D257292"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1</w:t>
            </w:r>
          </w:p>
        </w:tc>
        <w:tc>
          <w:tcPr>
            <w:tcW w:w="3654" w:type="dxa"/>
          </w:tcPr>
          <w:p w14:paraId="20A9580E"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Do you consider the government policy of concessioning better for marine industries?</w:t>
            </w:r>
          </w:p>
        </w:tc>
        <w:tc>
          <w:tcPr>
            <w:tcW w:w="1134" w:type="dxa"/>
          </w:tcPr>
          <w:p w14:paraId="1BA3E53C"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123 </w:t>
            </w:r>
            <w:r>
              <w:rPr>
                <w:rFonts w:cs="Times New Roman"/>
                <w:szCs w:val="24"/>
              </w:rPr>
              <w:t>(37.1%)</w:t>
            </w:r>
          </w:p>
        </w:tc>
        <w:tc>
          <w:tcPr>
            <w:tcW w:w="996" w:type="dxa"/>
          </w:tcPr>
          <w:p w14:paraId="799DE198"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89 </w:t>
            </w:r>
            <w:r>
              <w:rPr>
                <w:rFonts w:cs="Times New Roman"/>
                <w:szCs w:val="24"/>
              </w:rPr>
              <w:t>(26.8%)</w:t>
            </w:r>
          </w:p>
        </w:tc>
        <w:tc>
          <w:tcPr>
            <w:tcW w:w="1189" w:type="dxa"/>
          </w:tcPr>
          <w:p w14:paraId="38E48A44"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67 </w:t>
            </w:r>
            <w:r>
              <w:rPr>
                <w:rFonts w:cs="Times New Roman"/>
                <w:szCs w:val="24"/>
              </w:rPr>
              <w:t>(20.2%)</w:t>
            </w:r>
          </w:p>
        </w:tc>
        <w:tc>
          <w:tcPr>
            <w:tcW w:w="1250" w:type="dxa"/>
          </w:tcPr>
          <w:p w14:paraId="32992AE5"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52 </w:t>
            </w:r>
            <w:r>
              <w:rPr>
                <w:rFonts w:cs="Times New Roman"/>
                <w:szCs w:val="24"/>
              </w:rPr>
              <w:t>(15.7%)</w:t>
            </w:r>
          </w:p>
        </w:tc>
      </w:tr>
      <w:tr w:rsidR="00B37C46" w14:paraId="3A98A07E" w14:textId="77777777" w:rsidTr="00566D79">
        <w:tc>
          <w:tcPr>
            <w:tcW w:w="424" w:type="dxa"/>
          </w:tcPr>
          <w:p w14:paraId="1EA30B6B"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2</w:t>
            </w:r>
          </w:p>
        </w:tc>
        <w:tc>
          <w:tcPr>
            <w:tcW w:w="3654" w:type="dxa"/>
          </w:tcPr>
          <w:p w14:paraId="6FF9CDDA"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 xml:space="preserve">Do you consider high tariff charged by concessioning as part of effort to improve port production? </w:t>
            </w:r>
          </w:p>
        </w:tc>
        <w:tc>
          <w:tcPr>
            <w:tcW w:w="1134" w:type="dxa"/>
          </w:tcPr>
          <w:p w14:paraId="5D5B170F"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189 </w:t>
            </w:r>
            <w:r>
              <w:rPr>
                <w:rFonts w:cs="Times New Roman"/>
                <w:szCs w:val="24"/>
              </w:rPr>
              <w:t>(57.0%)</w:t>
            </w:r>
          </w:p>
        </w:tc>
        <w:tc>
          <w:tcPr>
            <w:tcW w:w="996" w:type="dxa"/>
          </w:tcPr>
          <w:p w14:paraId="0A9085D3"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105 </w:t>
            </w:r>
            <w:r>
              <w:rPr>
                <w:rFonts w:cs="Times New Roman"/>
                <w:szCs w:val="24"/>
              </w:rPr>
              <w:t>(31.7%)</w:t>
            </w:r>
          </w:p>
        </w:tc>
        <w:tc>
          <w:tcPr>
            <w:tcW w:w="1189" w:type="dxa"/>
          </w:tcPr>
          <w:p w14:paraId="656AAE4A"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27 </w:t>
            </w:r>
            <w:r>
              <w:rPr>
                <w:rFonts w:cs="Times New Roman"/>
                <w:szCs w:val="24"/>
              </w:rPr>
              <w:t>(8.1%)</w:t>
            </w:r>
          </w:p>
        </w:tc>
        <w:tc>
          <w:tcPr>
            <w:tcW w:w="1250" w:type="dxa"/>
          </w:tcPr>
          <w:p w14:paraId="48AD4764"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10 </w:t>
            </w:r>
            <w:r>
              <w:rPr>
                <w:rFonts w:cs="Times New Roman"/>
                <w:szCs w:val="24"/>
              </w:rPr>
              <w:t>(3.02%)</w:t>
            </w:r>
          </w:p>
        </w:tc>
      </w:tr>
      <w:tr w:rsidR="00B37C46" w14:paraId="73B16A67" w14:textId="77777777" w:rsidTr="00566D79">
        <w:tc>
          <w:tcPr>
            <w:tcW w:w="424" w:type="dxa"/>
          </w:tcPr>
          <w:p w14:paraId="0C51E176"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3</w:t>
            </w:r>
          </w:p>
        </w:tc>
        <w:tc>
          <w:tcPr>
            <w:tcW w:w="3654" w:type="dxa"/>
          </w:tcPr>
          <w:p w14:paraId="3C431D9F"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There is a great competition in maritime environment during the port concessioning era</w:t>
            </w:r>
          </w:p>
        </w:tc>
        <w:tc>
          <w:tcPr>
            <w:tcW w:w="1134" w:type="dxa"/>
          </w:tcPr>
          <w:p w14:paraId="75D4279D"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218 </w:t>
            </w:r>
            <w:r>
              <w:rPr>
                <w:rFonts w:cs="Times New Roman"/>
                <w:szCs w:val="24"/>
              </w:rPr>
              <w:t>(65.8%)</w:t>
            </w:r>
          </w:p>
        </w:tc>
        <w:tc>
          <w:tcPr>
            <w:tcW w:w="996" w:type="dxa"/>
          </w:tcPr>
          <w:p w14:paraId="67009D7B"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67 </w:t>
            </w:r>
            <w:r>
              <w:rPr>
                <w:rFonts w:cs="Times New Roman"/>
                <w:szCs w:val="24"/>
              </w:rPr>
              <w:t>(20.2%)</w:t>
            </w:r>
          </w:p>
        </w:tc>
        <w:tc>
          <w:tcPr>
            <w:tcW w:w="1189" w:type="dxa"/>
          </w:tcPr>
          <w:p w14:paraId="1DA663CF"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30 </w:t>
            </w:r>
            <w:r>
              <w:rPr>
                <w:rFonts w:cs="Times New Roman"/>
                <w:szCs w:val="24"/>
              </w:rPr>
              <w:t>(9.0%)</w:t>
            </w:r>
          </w:p>
        </w:tc>
        <w:tc>
          <w:tcPr>
            <w:tcW w:w="1250" w:type="dxa"/>
          </w:tcPr>
          <w:p w14:paraId="134FB3CD"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16 </w:t>
            </w:r>
            <w:r>
              <w:rPr>
                <w:rFonts w:cs="Times New Roman"/>
                <w:szCs w:val="24"/>
              </w:rPr>
              <w:t>(4.8%)</w:t>
            </w:r>
          </w:p>
        </w:tc>
      </w:tr>
      <w:tr w:rsidR="00B37C46" w14:paraId="181D6E7A" w14:textId="77777777" w:rsidTr="00566D79">
        <w:tc>
          <w:tcPr>
            <w:tcW w:w="424" w:type="dxa"/>
          </w:tcPr>
          <w:p w14:paraId="784BF4B0"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4</w:t>
            </w:r>
          </w:p>
        </w:tc>
        <w:tc>
          <w:tcPr>
            <w:tcW w:w="3654" w:type="dxa"/>
          </w:tcPr>
          <w:p w14:paraId="14F70D22"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 xml:space="preserve">Are the concessionaires able to combat problem of port congestion? </w:t>
            </w:r>
          </w:p>
        </w:tc>
        <w:tc>
          <w:tcPr>
            <w:tcW w:w="1134" w:type="dxa"/>
          </w:tcPr>
          <w:p w14:paraId="64BF9B4E"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111 </w:t>
            </w:r>
            <w:r>
              <w:rPr>
                <w:rFonts w:cs="Times New Roman"/>
                <w:szCs w:val="24"/>
              </w:rPr>
              <w:t>(33.5%)</w:t>
            </w:r>
          </w:p>
        </w:tc>
        <w:tc>
          <w:tcPr>
            <w:tcW w:w="996" w:type="dxa"/>
          </w:tcPr>
          <w:p w14:paraId="25B5E3E4"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121 </w:t>
            </w:r>
            <w:r>
              <w:rPr>
                <w:rFonts w:cs="Times New Roman"/>
                <w:szCs w:val="24"/>
              </w:rPr>
              <w:t>(36.5%)</w:t>
            </w:r>
          </w:p>
        </w:tc>
        <w:tc>
          <w:tcPr>
            <w:tcW w:w="1189" w:type="dxa"/>
          </w:tcPr>
          <w:p w14:paraId="4DF47286"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76 </w:t>
            </w:r>
            <w:r>
              <w:rPr>
                <w:rFonts w:cs="Times New Roman"/>
                <w:szCs w:val="24"/>
              </w:rPr>
              <w:t>(22.9%)</w:t>
            </w:r>
          </w:p>
        </w:tc>
        <w:tc>
          <w:tcPr>
            <w:tcW w:w="1250" w:type="dxa"/>
          </w:tcPr>
          <w:p w14:paraId="35DA7092"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23 </w:t>
            </w:r>
            <w:r>
              <w:rPr>
                <w:rFonts w:cs="Times New Roman"/>
                <w:szCs w:val="24"/>
              </w:rPr>
              <w:t>(6.9%)</w:t>
            </w:r>
          </w:p>
        </w:tc>
      </w:tr>
      <w:tr w:rsidR="00B37C46" w14:paraId="74C5CD2B" w14:textId="77777777" w:rsidTr="00566D79">
        <w:tc>
          <w:tcPr>
            <w:tcW w:w="424" w:type="dxa"/>
          </w:tcPr>
          <w:p w14:paraId="3C240534"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5</w:t>
            </w:r>
          </w:p>
        </w:tc>
        <w:tc>
          <w:tcPr>
            <w:tcW w:w="3654" w:type="dxa"/>
          </w:tcPr>
          <w:p w14:paraId="4CE86F49"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 xml:space="preserve">If berths are equipped with adequate and modern facilities port performance can be improved? </w:t>
            </w:r>
          </w:p>
        </w:tc>
        <w:tc>
          <w:tcPr>
            <w:tcW w:w="1134" w:type="dxa"/>
          </w:tcPr>
          <w:p w14:paraId="0C0223BB"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127 </w:t>
            </w:r>
            <w:r>
              <w:rPr>
                <w:rFonts w:cs="Times New Roman"/>
                <w:szCs w:val="24"/>
              </w:rPr>
              <w:t>(38.3%)</w:t>
            </w:r>
          </w:p>
        </w:tc>
        <w:tc>
          <w:tcPr>
            <w:tcW w:w="996" w:type="dxa"/>
          </w:tcPr>
          <w:p w14:paraId="4921791A"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145 </w:t>
            </w:r>
            <w:r>
              <w:rPr>
                <w:rFonts w:cs="Times New Roman"/>
                <w:szCs w:val="24"/>
              </w:rPr>
              <w:t>(43.8%)</w:t>
            </w:r>
          </w:p>
        </w:tc>
        <w:tc>
          <w:tcPr>
            <w:tcW w:w="1189" w:type="dxa"/>
          </w:tcPr>
          <w:p w14:paraId="242FAED1"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54 </w:t>
            </w:r>
            <w:r>
              <w:rPr>
                <w:rFonts w:cs="Times New Roman"/>
                <w:szCs w:val="24"/>
              </w:rPr>
              <w:t>(16.3%)</w:t>
            </w:r>
          </w:p>
        </w:tc>
        <w:tc>
          <w:tcPr>
            <w:tcW w:w="1250" w:type="dxa"/>
          </w:tcPr>
          <w:p w14:paraId="54524FA2"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5 </w:t>
            </w:r>
            <w:r>
              <w:rPr>
                <w:rFonts w:cs="Times New Roman"/>
                <w:szCs w:val="24"/>
              </w:rPr>
              <w:t>(1.5%)</w:t>
            </w:r>
          </w:p>
        </w:tc>
      </w:tr>
      <w:tr w:rsidR="00B37C46" w14:paraId="78A94900" w14:textId="77777777" w:rsidTr="00566D79">
        <w:tc>
          <w:tcPr>
            <w:tcW w:w="424" w:type="dxa"/>
          </w:tcPr>
          <w:p w14:paraId="635CEA39"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6</w:t>
            </w:r>
          </w:p>
        </w:tc>
        <w:tc>
          <w:tcPr>
            <w:tcW w:w="3654" w:type="dxa"/>
          </w:tcPr>
          <w:p w14:paraId="7E92736E"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 xml:space="preserve">If sea port is equipped with adequate facilities port performance can improved? </w:t>
            </w:r>
          </w:p>
        </w:tc>
        <w:tc>
          <w:tcPr>
            <w:tcW w:w="1134" w:type="dxa"/>
          </w:tcPr>
          <w:p w14:paraId="53634449"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158 </w:t>
            </w:r>
            <w:r>
              <w:rPr>
                <w:rFonts w:cs="Times New Roman"/>
                <w:szCs w:val="24"/>
              </w:rPr>
              <w:t>(47.7%)</w:t>
            </w:r>
          </w:p>
        </w:tc>
        <w:tc>
          <w:tcPr>
            <w:tcW w:w="996" w:type="dxa"/>
          </w:tcPr>
          <w:p w14:paraId="223F9224"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145 </w:t>
            </w:r>
            <w:r>
              <w:rPr>
                <w:rFonts w:cs="Times New Roman"/>
                <w:szCs w:val="24"/>
              </w:rPr>
              <w:t>(43.8%)</w:t>
            </w:r>
          </w:p>
        </w:tc>
        <w:tc>
          <w:tcPr>
            <w:tcW w:w="1189" w:type="dxa"/>
          </w:tcPr>
          <w:p w14:paraId="7BD63EF3"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20 </w:t>
            </w:r>
            <w:r>
              <w:rPr>
                <w:rFonts w:cs="Times New Roman"/>
                <w:szCs w:val="24"/>
              </w:rPr>
              <w:t>(6.0%)</w:t>
            </w:r>
          </w:p>
        </w:tc>
        <w:tc>
          <w:tcPr>
            <w:tcW w:w="1250" w:type="dxa"/>
          </w:tcPr>
          <w:p w14:paraId="6539E23E"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8 </w:t>
            </w:r>
            <w:r>
              <w:rPr>
                <w:rFonts w:cs="Times New Roman"/>
                <w:szCs w:val="24"/>
              </w:rPr>
              <w:t>(2.4%)</w:t>
            </w:r>
          </w:p>
        </w:tc>
      </w:tr>
      <w:tr w:rsidR="00B37C46" w14:paraId="31FC2544" w14:textId="77777777" w:rsidTr="00566D79">
        <w:tc>
          <w:tcPr>
            <w:tcW w:w="424" w:type="dxa"/>
          </w:tcPr>
          <w:p w14:paraId="11627519" w14:textId="77777777" w:rsidR="00B37C46" w:rsidRDefault="00B37C46" w:rsidP="00566D79">
            <w:pPr>
              <w:contextualSpacing/>
              <w:jc w:val="center"/>
              <w:rPr>
                <w:rFonts w:cs="Times New Roman"/>
                <w:color w:val="000000"/>
                <w:szCs w:val="24"/>
                <w:shd w:val="clear" w:color="auto" w:fill="FEFFFF"/>
              </w:rPr>
            </w:pPr>
            <w:r>
              <w:rPr>
                <w:rFonts w:cs="Times New Roman"/>
                <w:color w:val="000000"/>
                <w:szCs w:val="24"/>
                <w:shd w:val="clear" w:color="auto" w:fill="FEFFFF"/>
              </w:rPr>
              <w:t>7</w:t>
            </w:r>
          </w:p>
        </w:tc>
        <w:tc>
          <w:tcPr>
            <w:tcW w:w="3654" w:type="dxa"/>
          </w:tcPr>
          <w:p w14:paraId="0932E95F" w14:textId="77777777" w:rsidR="00B37C46" w:rsidRDefault="00B37C46" w:rsidP="00566D79">
            <w:pPr>
              <w:rPr>
                <w:rFonts w:cs="Times New Roman"/>
                <w:color w:val="000000"/>
                <w:szCs w:val="24"/>
                <w:shd w:val="clear" w:color="auto" w:fill="FEFFFF"/>
              </w:rPr>
            </w:pPr>
            <w:r>
              <w:rPr>
                <w:rFonts w:cs="Times New Roman"/>
                <w:color w:val="000000"/>
                <w:szCs w:val="24"/>
                <w:shd w:val="clear" w:color="auto" w:fill="FEFFFF"/>
              </w:rPr>
              <w:t xml:space="preserve">Port performance indicators and benchmarks are real means of measuring port performance? </w:t>
            </w:r>
          </w:p>
        </w:tc>
        <w:tc>
          <w:tcPr>
            <w:tcW w:w="1134" w:type="dxa"/>
          </w:tcPr>
          <w:p w14:paraId="012F9837"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113 </w:t>
            </w:r>
            <w:r>
              <w:rPr>
                <w:rFonts w:cs="Times New Roman"/>
                <w:szCs w:val="24"/>
              </w:rPr>
              <w:t>(343.1%)</w:t>
            </w:r>
          </w:p>
        </w:tc>
        <w:tc>
          <w:tcPr>
            <w:tcW w:w="996" w:type="dxa"/>
          </w:tcPr>
          <w:p w14:paraId="19EF1A06"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165 </w:t>
            </w:r>
            <w:r>
              <w:rPr>
                <w:rFonts w:cs="Times New Roman"/>
                <w:szCs w:val="24"/>
              </w:rPr>
              <w:t>(49.8%)</w:t>
            </w:r>
          </w:p>
        </w:tc>
        <w:tc>
          <w:tcPr>
            <w:tcW w:w="1189" w:type="dxa"/>
          </w:tcPr>
          <w:p w14:paraId="04C619D2"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 xml:space="preserve">43 </w:t>
            </w:r>
            <w:r>
              <w:rPr>
                <w:rFonts w:cs="Times New Roman"/>
                <w:szCs w:val="24"/>
              </w:rPr>
              <w:t>(12.9%)</w:t>
            </w:r>
          </w:p>
        </w:tc>
        <w:tc>
          <w:tcPr>
            <w:tcW w:w="1250" w:type="dxa"/>
          </w:tcPr>
          <w:p w14:paraId="3ED950C3" w14:textId="77777777" w:rsidR="00B37C46" w:rsidRDefault="00B37C46" w:rsidP="00566D79">
            <w:pPr>
              <w:contextualSpacing/>
              <w:rPr>
                <w:rFonts w:cs="Times New Roman"/>
                <w:color w:val="000000"/>
                <w:szCs w:val="24"/>
                <w:shd w:val="clear" w:color="auto" w:fill="FEFFFF"/>
              </w:rPr>
            </w:pPr>
            <w:r>
              <w:rPr>
                <w:rFonts w:cs="Times New Roman"/>
                <w:color w:val="000000"/>
                <w:szCs w:val="24"/>
                <w:shd w:val="clear" w:color="auto" w:fill="FEFFFF"/>
              </w:rPr>
              <w:t>10 (</w:t>
            </w:r>
            <w:r>
              <w:rPr>
                <w:rFonts w:cs="Times New Roman"/>
                <w:szCs w:val="24"/>
              </w:rPr>
              <w:t>3.02%</w:t>
            </w:r>
            <w:r>
              <w:rPr>
                <w:rFonts w:cs="Times New Roman"/>
                <w:color w:val="000000"/>
                <w:szCs w:val="24"/>
                <w:shd w:val="clear" w:color="auto" w:fill="FEFFFF"/>
              </w:rPr>
              <w:t>)</w:t>
            </w:r>
          </w:p>
        </w:tc>
      </w:tr>
    </w:tbl>
    <w:p w14:paraId="312E6A63" w14:textId="77777777" w:rsidR="00B37C46" w:rsidRDefault="00B37C46" w:rsidP="00B37C46">
      <w:pPr>
        <w:spacing w:after="0" w:line="480" w:lineRule="auto"/>
        <w:rPr>
          <w:rFonts w:cs="Times New Roman"/>
          <w:b/>
        </w:rPr>
      </w:pPr>
      <w:r>
        <w:rPr>
          <w:rFonts w:cs="Times New Roman"/>
          <w:b/>
        </w:rPr>
        <w:t>Source: Author’s Field Survey 2026</w:t>
      </w:r>
    </w:p>
    <w:p w14:paraId="5CB412C8" w14:textId="77777777" w:rsidR="00B37C46" w:rsidRPr="005A1B86" w:rsidRDefault="00B37C46" w:rsidP="00B37C46">
      <w:pPr>
        <w:autoSpaceDE w:val="0"/>
        <w:autoSpaceDN w:val="0"/>
        <w:adjustRightInd w:val="0"/>
        <w:spacing w:after="0" w:line="480" w:lineRule="auto"/>
        <w:rPr>
          <w:rFonts w:cs="Times New Roman"/>
          <w:b/>
          <w:bCs/>
        </w:rPr>
      </w:pPr>
      <w:r w:rsidRPr="005A1B86">
        <w:rPr>
          <w:rFonts w:cs="Times New Roman"/>
          <w:b/>
          <w:bCs/>
        </w:rPr>
        <w:t>From Table 1b:</w:t>
      </w:r>
      <w:r w:rsidRPr="005A1B86">
        <w:rPr>
          <w:rFonts w:cs="Times New Roman"/>
          <w:b/>
          <w:bCs/>
          <w:color w:val="000000"/>
        </w:rPr>
        <w:t xml:space="preserve"> </w:t>
      </w:r>
      <w:r w:rsidRPr="005A1B86">
        <w:rPr>
          <w:rFonts w:cs="Times New Roman"/>
          <w:b/>
          <w:bCs/>
          <w:color w:val="000000"/>
          <w:shd w:val="clear" w:color="auto" w:fill="FEFFFF"/>
        </w:rPr>
        <w:t>Are the concessionaires able to combat the problem of port congestion?</w:t>
      </w:r>
    </w:p>
    <w:tbl>
      <w:tblPr>
        <w:tblStyle w:val="TableGrid"/>
        <w:tblW w:w="0" w:type="auto"/>
        <w:tblLook w:val="04A0" w:firstRow="1" w:lastRow="0" w:firstColumn="1" w:lastColumn="0" w:noHBand="0" w:noVBand="1"/>
      </w:tblPr>
      <w:tblGrid>
        <w:gridCol w:w="3131"/>
        <w:gridCol w:w="3135"/>
        <w:gridCol w:w="2376"/>
      </w:tblGrid>
      <w:tr w:rsidR="00B37C46" w:rsidRPr="005A1B86" w14:paraId="081EA61D" w14:textId="77777777" w:rsidTr="00566D79">
        <w:tc>
          <w:tcPr>
            <w:tcW w:w="3131" w:type="dxa"/>
            <w:tcBorders>
              <w:top w:val="single" w:sz="4" w:space="0" w:color="000000"/>
              <w:left w:val="single" w:sz="4" w:space="0" w:color="000000"/>
              <w:bottom w:val="single" w:sz="4" w:space="0" w:color="000000"/>
              <w:right w:val="single" w:sz="4" w:space="0" w:color="000000"/>
            </w:tcBorders>
            <w:hideMark/>
          </w:tcPr>
          <w:p w14:paraId="0341730D" w14:textId="77777777" w:rsidR="00B37C46" w:rsidRPr="005A1B86" w:rsidRDefault="00B37C46" w:rsidP="00566D79">
            <w:pPr>
              <w:autoSpaceDE w:val="0"/>
              <w:autoSpaceDN w:val="0"/>
              <w:adjustRightInd w:val="0"/>
              <w:rPr>
                <w:rFonts w:cs="Times New Roman"/>
                <w:b/>
                <w:bCs/>
                <w:szCs w:val="24"/>
              </w:rPr>
            </w:pPr>
            <w:r w:rsidRPr="005A1B86">
              <w:rPr>
                <w:rFonts w:cs="Times New Roman"/>
                <w:b/>
                <w:bCs/>
                <w:szCs w:val="24"/>
              </w:rPr>
              <w:t>Responses</w:t>
            </w:r>
          </w:p>
        </w:tc>
        <w:tc>
          <w:tcPr>
            <w:tcW w:w="3135" w:type="dxa"/>
            <w:tcBorders>
              <w:top w:val="single" w:sz="4" w:space="0" w:color="000000"/>
              <w:left w:val="single" w:sz="4" w:space="0" w:color="000000"/>
              <w:bottom w:val="single" w:sz="4" w:space="0" w:color="000000"/>
              <w:right w:val="single" w:sz="4" w:space="0" w:color="000000"/>
            </w:tcBorders>
            <w:hideMark/>
          </w:tcPr>
          <w:p w14:paraId="00E77EE3" w14:textId="77777777" w:rsidR="00B37C46" w:rsidRPr="005A1B86" w:rsidRDefault="00B37C46" w:rsidP="00566D79">
            <w:pPr>
              <w:autoSpaceDE w:val="0"/>
              <w:autoSpaceDN w:val="0"/>
              <w:adjustRightInd w:val="0"/>
              <w:rPr>
                <w:rFonts w:cs="Times New Roman"/>
                <w:b/>
                <w:bCs/>
                <w:szCs w:val="24"/>
              </w:rPr>
            </w:pPr>
            <w:r w:rsidRPr="005A1B86">
              <w:rPr>
                <w:rFonts w:cs="Times New Roman"/>
                <w:b/>
                <w:bCs/>
                <w:szCs w:val="24"/>
              </w:rPr>
              <w:t>No of respondents</w:t>
            </w:r>
          </w:p>
        </w:tc>
        <w:tc>
          <w:tcPr>
            <w:tcW w:w="2376" w:type="dxa"/>
            <w:tcBorders>
              <w:top w:val="single" w:sz="4" w:space="0" w:color="000000"/>
              <w:left w:val="single" w:sz="4" w:space="0" w:color="000000"/>
              <w:bottom w:val="single" w:sz="4" w:space="0" w:color="000000"/>
              <w:right w:val="single" w:sz="4" w:space="0" w:color="000000"/>
            </w:tcBorders>
            <w:hideMark/>
          </w:tcPr>
          <w:p w14:paraId="4BFB70AE" w14:textId="77777777" w:rsidR="00B37C46" w:rsidRPr="005A1B86" w:rsidRDefault="00B37C46" w:rsidP="00566D79">
            <w:pPr>
              <w:autoSpaceDE w:val="0"/>
              <w:autoSpaceDN w:val="0"/>
              <w:adjustRightInd w:val="0"/>
              <w:rPr>
                <w:rFonts w:cs="Times New Roman"/>
                <w:b/>
                <w:bCs/>
                <w:szCs w:val="24"/>
              </w:rPr>
            </w:pPr>
            <w:r w:rsidRPr="005A1B86">
              <w:rPr>
                <w:rFonts w:cs="Times New Roman"/>
                <w:b/>
                <w:bCs/>
                <w:szCs w:val="24"/>
              </w:rPr>
              <w:t>Percentages</w:t>
            </w:r>
          </w:p>
        </w:tc>
      </w:tr>
      <w:tr w:rsidR="00B37C46" w14:paraId="33044170" w14:textId="77777777" w:rsidTr="00566D79">
        <w:tc>
          <w:tcPr>
            <w:tcW w:w="3131" w:type="dxa"/>
            <w:tcBorders>
              <w:top w:val="single" w:sz="4" w:space="0" w:color="000000"/>
              <w:left w:val="single" w:sz="4" w:space="0" w:color="000000"/>
              <w:bottom w:val="single" w:sz="4" w:space="0" w:color="000000"/>
              <w:right w:val="single" w:sz="4" w:space="0" w:color="000000"/>
            </w:tcBorders>
            <w:hideMark/>
          </w:tcPr>
          <w:p w14:paraId="1AD76447" w14:textId="77777777" w:rsidR="00B37C46" w:rsidRDefault="00B37C46" w:rsidP="00566D79">
            <w:pPr>
              <w:autoSpaceDE w:val="0"/>
              <w:autoSpaceDN w:val="0"/>
              <w:adjustRightInd w:val="0"/>
              <w:rPr>
                <w:rFonts w:cs="Times New Roman"/>
                <w:szCs w:val="24"/>
              </w:rPr>
            </w:pPr>
            <w:r>
              <w:rPr>
                <w:rFonts w:cs="Times New Roman"/>
                <w:szCs w:val="24"/>
              </w:rPr>
              <w:t xml:space="preserve">Strongly agree </w:t>
            </w:r>
          </w:p>
        </w:tc>
        <w:tc>
          <w:tcPr>
            <w:tcW w:w="3135" w:type="dxa"/>
            <w:tcBorders>
              <w:top w:val="single" w:sz="4" w:space="0" w:color="000000"/>
              <w:left w:val="single" w:sz="4" w:space="0" w:color="000000"/>
              <w:bottom w:val="single" w:sz="4" w:space="0" w:color="000000"/>
              <w:right w:val="single" w:sz="4" w:space="0" w:color="000000"/>
            </w:tcBorders>
            <w:hideMark/>
          </w:tcPr>
          <w:p w14:paraId="542EC50B"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111</w:t>
            </w:r>
          </w:p>
        </w:tc>
        <w:tc>
          <w:tcPr>
            <w:tcW w:w="2376" w:type="dxa"/>
            <w:tcBorders>
              <w:top w:val="single" w:sz="4" w:space="0" w:color="000000"/>
              <w:left w:val="single" w:sz="4" w:space="0" w:color="000000"/>
              <w:bottom w:val="single" w:sz="4" w:space="0" w:color="000000"/>
              <w:right w:val="single" w:sz="4" w:space="0" w:color="000000"/>
            </w:tcBorders>
            <w:hideMark/>
          </w:tcPr>
          <w:p w14:paraId="214A1B41" w14:textId="77777777" w:rsidR="00B37C46" w:rsidRDefault="00B37C46" w:rsidP="00566D79">
            <w:pPr>
              <w:autoSpaceDE w:val="0"/>
              <w:autoSpaceDN w:val="0"/>
              <w:adjustRightInd w:val="0"/>
              <w:rPr>
                <w:rFonts w:cs="Times New Roman"/>
                <w:szCs w:val="24"/>
              </w:rPr>
            </w:pPr>
            <w:r>
              <w:rPr>
                <w:rFonts w:cs="Times New Roman"/>
                <w:szCs w:val="24"/>
              </w:rPr>
              <w:t>33.5%</w:t>
            </w:r>
          </w:p>
        </w:tc>
      </w:tr>
      <w:tr w:rsidR="00B37C46" w14:paraId="2A45071E" w14:textId="77777777" w:rsidTr="00566D79">
        <w:tc>
          <w:tcPr>
            <w:tcW w:w="3131" w:type="dxa"/>
            <w:tcBorders>
              <w:top w:val="single" w:sz="4" w:space="0" w:color="000000"/>
              <w:left w:val="single" w:sz="4" w:space="0" w:color="000000"/>
              <w:bottom w:val="single" w:sz="4" w:space="0" w:color="000000"/>
              <w:right w:val="single" w:sz="4" w:space="0" w:color="000000"/>
            </w:tcBorders>
            <w:hideMark/>
          </w:tcPr>
          <w:p w14:paraId="454F41B3" w14:textId="77777777" w:rsidR="00B37C46" w:rsidRDefault="00B37C46" w:rsidP="00566D79">
            <w:pPr>
              <w:autoSpaceDE w:val="0"/>
              <w:autoSpaceDN w:val="0"/>
              <w:adjustRightInd w:val="0"/>
              <w:rPr>
                <w:rFonts w:cs="Times New Roman"/>
                <w:szCs w:val="24"/>
              </w:rPr>
            </w:pPr>
            <w:r>
              <w:rPr>
                <w:rFonts w:cs="Times New Roman"/>
                <w:szCs w:val="24"/>
              </w:rPr>
              <w:t>Agree</w:t>
            </w:r>
          </w:p>
        </w:tc>
        <w:tc>
          <w:tcPr>
            <w:tcW w:w="3135" w:type="dxa"/>
            <w:tcBorders>
              <w:top w:val="single" w:sz="4" w:space="0" w:color="000000"/>
              <w:left w:val="single" w:sz="4" w:space="0" w:color="000000"/>
              <w:bottom w:val="single" w:sz="4" w:space="0" w:color="000000"/>
              <w:right w:val="single" w:sz="4" w:space="0" w:color="000000"/>
            </w:tcBorders>
            <w:hideMark/>
          </w:tcPr>
          <w:p w14:paraId="0C984BF8"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121</w:t>
            </w:r>
          </w:p>
        </w:tc>
        <w:tc>
          <w:tcPr>
            <w:tcW w:w="2376" w:type="dxa"/>
            <w:tcBorders>
              <w:top w:val="single" w:sz="4" w:space="0" w:color="000000"/>
              <w:left w:val="single" w:sz="4" w:space="0" w:color="000000"/>
              <w:bottom w:val="single" w:sz="4" w:space="0" w:color="000000"/>
              <w:right w:val="single" w:sz="4" w:space="0" w:color="000000"/>
            </w:tcBorders>
            <w:hideMark/>
          </w:tcPr>
          <w:p w14:paraId="49A717B3" w14:textId="77777777" w:rsidR="00B37C46" w:rsidRDefault="00B37C46" w:rsidP="00566D79">
            <w:pPr>
              <w:autoSpaceDE w:val="0"/>
              <w:autoSpaceDN w:val="0"/>
              <w:adjustRightInd w:val="0"/>
              <w:rPr>
                <w:rFonts w:cs="Times New Roman"/>
                <w:szCs w:val="24"/>
              </w:rPr>
            </w:pPr>
            <w:r>
              <w:rPr>
                <w:rFonts w:cs="Times New Roman"/>
                <w:szCs w:val="24"/>
              </w:rPr>
              <w:t>36.5%</w:t>
            </w:r>
          </w:p>
        </w:tc>
      </w:tr>
      <w:tr w:rsidR="00B37C46" w14:paraId="6151A340" w14:textId="77777777" w:rsidTr="00566D79">
        <w:tc>
          <w:tcPr>
            <w:tcW w:w="3131" w:type="dxa"/>
            <w:tcBorders>
              <w:top w:val="single" w:sz="4" w:space="0" w:color="000000"/>
              <w:left w:val="single" w:sz="4" w:space="0" w:color="000000"/>
              <w:bottom w:val="single" w:sz="4" w:space="0" w:color="000000"/>
              <w:right w:val="single" w:sz="4" w:space="0" w:color="000000"/>
            </w:tcBorders>
          </w:tcPr>
          <w:p w14:paraId="352EE29D" w14:textId="77777777" w:rsidR="00B37C46" w:rsidRDefault="00B37C46" w:rsidP="00566D79">
            <w:pPr>
              <w:autoSpaceDE w:val="0"/>
              <w:autoSpaceDN w:val="0"/>
              <w:adjustRightInd w:val="0"/>
              <w:rPr>
                <w:rFonts w:cs="Times New Roman"/>
                <w:szCs w:val="24"/>
              </w:rPr>
            </w:pPr>
            <w:r>
              <w:rPr>
                <w:rFonts w:cs="Times New Roman"/>
                <w:szCs w:val="24"/>
              </w:rPr>
              <w:t xml:space="preserve">Disagree </w:t>
            </w:r>
          </w:p>
        </w:tc>
        <w:tc>
          <w:tcPr>
            <w:tcW w:w="3135" w:type="dxa"/>
            <w:tcBorders>
              <w:top w:val="single" w:sz="4" w:space="0" w:color="000000"/>
              <w:left w:val="single" w:sz="4" w:space="0" w:color="000000"/>
              <w:bottom w:val="single" w:sz="4" w:space="0" w:color="000000"/>
              <w:right w:val="single" w:sz="4" w:space="0" w:color="000000"/>
            </w:tcBorders>
          </w:tcPr>
          <w:p w14:paraId="62B87D45"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76</w:t>
            </w:r>
          </w:p>
        </w:tc>
        <w:tc>
          <w:tcPr>
            <w:tcW w:w="2376" w:type="dxa"/>
            <w:tcBorders>
              <w:top w:val="single" w:sz="4" w:space="0" w:color="000000"/>
              <w:left w:val="single" w:sz="4" w:space="0" w:color="000000"/>
              <w:bottom w:val="single" w:sz="4" w:space="0" w:color="000000"/>
              <w:right w:val="single" w:sz="4" w:space="0" w:color="000000"/>
            </w:tcBorders>
          </w:tcPr>
          <w:p w14:paraId="5AAAB0E8" w14:textId="77777777" w:rsidR="00B37C46" w:rsidRDefault="00B37C46" w:rsidP="00566D79">
            <w:pPr>
              <w:autoSpaceDE w:val="0"/>
              <w:autoSpaceDN w:val="0"/>
              <w:adjustRightInd w:val="0"/>
              <w:rPr>
                <w:rFonts w:cs="Times New Roman"/>
                <w:szCs w:val="24"/>
              </w:rPr>
            </w:pPr>
            <w:r>
              <w:rPr>
                <w:rFonts w:cs="Times New Roman"/>
                <w:szCs w:val="24"/>
              </w:rPr>
              <w:t>22.9%</w:t>
            </w:r>
          </w:p>
        </w:tc>
      </w:tr>
      <w:tr w:rsidR="00B37C46" w14:paraId="6CA50D10" w14:textId="77777777" w:rsidTr="00566D79">
        <w:tc>
          <w:tcPr>
            <w:tcW w:w="3131" w:type="dxa"/>
            <w:tcBorders>
              <w:top w:val="single" w:sz="4" w:space="0" w:color="000000"/>
              <w:left w:val="single" w:sz="4" w:space="0" w:color="000000"/>
              <w:bottom w:val="single" w:sz="4" w:space="0" w:color="000000"/>
              <w:right w:val="single" w:sz="4" w:space="0" w:color="000000"/>
            </w:tcBorders>
          </w:tcPr>
          <w:p w14:paraId="13F0A877" w14:textId="77777777" w:rsidR="00B37C46" w:rsidRDefault="00B37C46" w:rsidP="00566D79">
            <w:pPr>
              <w:autoSpaceDE w:val="0"/>
              <w:autoSpaceDN w:val="0"/>
              <w:adjustRightInd w:val="0"/>
              <w:rPr>
                <w:rFonts w:cs="Times New Roman"/>
                <w:szCs w:val="24"/>
              </w:rPr>
            </w:pPr>
            <w:r>
              <w:rPr>
                <w:rFonts w:cs="Times New Roman"/>
                <w:szCs w:val="24"/>
              </w:rPr>
              <w:t>Strongly disagree</w:t>
            </w:r>
          </w:p>
        </w:tc>
        <w:tc>
          <w:tcPr>
            <w:tcW w:w="3135" w:type="dxa"/>
            <w:tcBorders>
              <w:top w:val="single" w:sz="4" w:space="0" w:color="000000"/>
              <w:left w:val="single" w:sz="4" w:space="0" w:color="000000"/>
              <w:bottom w:val="single" w:sz="4" w:space="0" w:color="000000"/>
              <w:right w:val="single" w:sz="4" w:space="0" w:color="000000"/>
            </w:tcBorders>
          </w:tcPr>
          <w:p w14:paraId="127BAB62"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23</w:t>
            </w:r>
          </w:p>
        </w:tc>
        <w:tc>
          <w:tcPr>
            <w:tcW w:w="2376" w:type="dxa"/>
            <w:tcBorders>
              <w:top w:val="single" w:sz="4" w:space="0" w:color="000000"/>
              <w:left w:val="single" w:sz="4" w:space="0" w:color="000000"/>
              <w:bottom w:val="single" w:sz="4" w:space="0" w:color="000000"/>
              <w:right w:val="single" w:sz="4" w:space="0" w:color="000000"/>
            </w:tcBorders>
          </w:tcPr>
          <w:p w14:paraId="2D6A9363" w14:textId="77777777" w:rsidR="00B37C46" w:rsidRDefault="00B37C46" w:rsidP="00566D79">
            <w:pPr>
              <w:autoSpaceDE w:val="0"/>
              <w:autoSpaceDN w:val="0"/>
              <w:adjustRightInd w:val="0"/>
              <w:rPr>
                <w:rFonts w:cs="Times New Roman"/>
                <w:szCs w:val="24"/>
              </w:rPr>
            </w:pPr>
            <w:r>
              <w:rPr>
                <w:rFonts w:cs="Times New Roman"/>
                <w:szCs w:val="24"/>
              </w:rPr>
              <w:t>6.9%</w:t>
            </w:r>
          </w:p>
        </w:tc>
      </w:tr>
      <w:tr w:rsidR="00B37C46" w14:paraId="725B70E8" w14:textId="77777777" w:rsidTr="00566D79">
        <w:tc>
          <w:tcPr>
            <w:tcW w:w="3131" w:type="dxa"/>
            <w:tcBorders>
              <w:top w:val="single" w:sz="4" w:space="0" w:color="000000"/>
              <w:left w:val="single" w:sz="4" w:space="0" w:color="000000"/>
              <w:bottom w:val="single" w:sz="4" w:space="0" w:color="000000"/>
              <w:right w:val="single" w:sz="4" w:space="0" w:color="000000"/>
            </w:tcBorders>
            <w:hideMark/>
          </w:tcPr>
          <w:p w14:paraId="12F2FF53" w14:textId="77777777" w:rsidR="00B37C46" w:rsidRDefault="00B37C46" w:rsidP="00566D79">
            <w:pPr>
              <w:autoSpaceDE w:val="0"/>
              <w:autoSpaceDN w:val="0"/>
              <w:adjustRightInd w:val="0"/>
              <w:rPr>
                <w:rFonts w:cs="Times New Roman"/>
                <w:szCs w:val="24"/>
              </w:rPr>
            </w:pPr>
            <w:r>
              <w:rPr>
                <w:rFonts w:cs="Times New Roman"/>
                <w:szCs w:val="24"/>
              </w:rPr>
              <w:t>Total</w:t>
            </w:r>
          </w:p>
        </w:tc>
        <w:tc>
          <w:tcPr>
            <w:tcW w:w="3135" w:type="dxa"/>
            <w:tcBorders>
              <w:top w:val="single" w:sz="4" w:space="0" w:color="000000"/>
              <w:left w:val="single" w:sz="4" w:space="0" w:color="000000"/>
              <w:bottom w:val="single" w:sz="4" w:space="0" w:color="000000"/>
              <w:right w:val="single" w:sz="4" w:space="0" w:color="000000"/>
            </w:tcBorders>
            <w:hideMark/>
          </w:tcPr>
          <w:p w14:paraId="0F39C4D5" w14:textId="77777777" w:rsidR="00B37C46" w:rsidRDefault="00B37C46" w:rsidP="00566D79">
            <w:pPr>
              <w:autoSpaceDE w:val="0"/>
              <w:autoSpaceDN w:val="0"/>
              <w:adjustRightInd w:val="0"/>
              <w:rPr>
                <w:rFonts w:cs="Times New Roman"/>
                <w:szCs w:val="24"/>
              </w:rPr>
            </w:pPr>
            <w:r>
              <w:rPr>
                <w:rFonts w:cs="Times New Roman"/>
                <w:szCs w:val="24"/>
              </w:rPr>
              <w:t>331</w:t>
            </w:r>
          </w:p>
        </w:tc>
        <w:tc>
          <w:tcPr>
            <w:tcW w:w="2376" w:type="dxa"/>
            <w:tcBorders>
              <w:top w:val="single" w:sz="4" w:space="0" w:color="000000"/>
              <w:left w:val="single" w:sz="4" w:space="0" w:color="000000"/>
              <w:bottom w:val="single" w:sz="4" w:space="0" w:color="000000"/>
              <w:right w:val="single" w:sz="4" w:space="0" w:color="000000"/>
            </w:tcBorders>
            <w:hideMark/>
          </w:tcPr>
          <w:p w14:paraId="3640E344" w14:textId="77777777" w:rsidR="00B37C46" w:rsidRDefault="00B37C46" w:rsidP="00566D79">
            <w:pPr>
              <w:autoSpaceDE w:val="0"/>
              <w:autoSpaceDN w:val="0"/>
              <w:adjustRightInd w:val="0"/>
              <w:rPr>
                <w:rFonts w:cs="Times New Roman"/>
                <w:szCs w:val="24"/>
              </w:rPr>
            </w:pPr>
            <w:r>
              <w:rPr>
                <w:rFonts w:cs="Times New Roman"/>
                <w:szCs w:val="24"/>
              </w:rPr>
              <w:t>100</w:t>
            </w:r>
          </w:p>
        </w:tc>
      </w:tr>
    </w:tbl>
    <w:p w14:paraId="39075FE1" w14:textId="77777777" w:rsidR="00B37C46" w:rsidRDefault="00B37C46" w:rsidP="00B37C46">
      <w:pPr>
        <w:autoSpaceDE w:val="0"/>
        <w:autoSpaceDN w:val="0"/>
        <w:adjustRightInd w:val="0"/>
        <w:spacing w:after="0" w:line="480" w:lineRule="auto"/>
        <w:rPr>
          <w:rFonts w:cs="Times New Roman"/>
        </w:rPr>
      </w:pPr>
      <w:r>
        <w:rPr>
          <w:rFonts w:cs="Times New Roman"/>
        </w:rPr>
        <w:t>Sources: Field Survey, 2026</w:t>
      </w:r>
    </w:p>
    <w:p w14:paraId="1E446D49" w14:textId="77777777" w:rsidR="00B37C46" w:rsidRDefault="00B37C46" w:rsidP="00B37C46">
      <w:pPr>
        <w:autoSpaceDE w:val="0"/>
        <w:autoSpaceDN w:val="0"/>
        <w:adjustRightInd w:val="0"/>
        <w:spacing w:after="0" w:line="240" w:lineRule="auto"/>
        <w:rPr>
          <w:rFonts w:cs="Times New Roman"/>
          <w:b/>
        </w:rPr>
      </w:pPr>
    </w:p>
    <w:p w14:paraId="10BD8DD8" w14:textId="77777777" w:rsidR="00B37C46" w:rsidRDefault="00B37C46" w:rsidP="00B37C46">
      <w:pPr>
        <w:autoSpaceDE w:val="0"/>
        <w:autoSpaceDN w:val="0"/>
        <w:adjustRightInd w:val="0"/>
        <w:spacing w:after="0" w:line="240" w:lineRule="auto"/>
        <w:rPr>
          <w:rFonts w:cs="Times New Roman"/>
          <w:b/>
        </w:rPr>
      </w:pPr>
    </w:p>
    <w:p w14:paraId="778F4EB7" w14:textId="77777777" w:rsidR="00B37C46" w:rsidRDefault="00B37C46" w:rsidP="00B37C46">
      <w:pPr>
        <w:autoSpaceDE w:val="0"/>
        <w:autoSpaceDN w:val="0"/>
        <w:adjustRightInd w:val="0"/>
        <w:spacing w:after="0" w:line="240" w:lineRule="auto"/>
        <w:rPr>
          <w:rFonts w:cs="Times New Roman"/>
          <w:b/>
        </w:rPr>
      </w:pPr>
    </w:p>
    <w:p w14:paraId="5737C27A" w14:textId="77777777" w:rsidR="00B37C46" w:rsidRDefault="00B37C46" w:rsidP="00B37C46">
      <w:pPr>
        <w:autoSpaceDE w:val="0"/>
        <w:autoSpaceDN w:val="0"/>
        <w:adjustRightInd w:val="0"/>
        <w:spacing w:after="0" w:line="240" w:lineRule="auto"/>
        <w:rPr>
          <w:rFonts w:cs="Times New Roman"/>
          <w:b/>
        </w:rPr>
      </w:pPr>
    </w:p>
    <w:p w14:paraId="76530F5E" w14:textId="77777777" w:rsidR="00B37C46" w:rsidRDefault="00B37C46" w:rsidP="00B37C46">
      <w:pPr>
        <w:autoSpaceDE w:val="0"/>
        <w:autoSpaceDN w:val="0"/>
        <w:adjustRightInd w:val="0"/>
        <w:spacing w:after="0" w:line="240" w:lineRule="auto"/>
        <w:rPr>
          <w:rFonts w:cs="Times New Roman"/>
          <w:b/>
        </w:rPr>
      </w:pPr>
    </w:p>
    <w:p w14:paraId="61544C7A" w14:textId="77777777" w:rsidR="00B37C46" w:rsidRDefault="00B37C46" w:rsidP="00B37C46">
      <w:pPr>
        <w:autoSpaceDE w:val="0"/>
        <w:autoSpaceDN w:val="0"/>
        <w:adjustRightInd w:val="0"/>
        <w:spacing w:after="0" w:line="240" w:lineRule="auto"/>
        <w:rPr>
          <w:rFonts w:cs="Times New Roman"/>
          <w:b/>
        </w:rPr>
      </w:pPr>
    </w:p>
    <w:p w14:paraId="703876E0" w14:textId="77777777" w:rsidR="00B37C46" w:rsidRDefault="00B37C46" w:rsidP="00B37C46">
      <w:pPr>
        <w:autoSpaceDE w:val="0"/>
        <w:autoSpaceDN w:val="0"/>
        <w:adjustRightInd w:val="0"/>
        <w:spacing w:after="0" w:line="240" w:lineRule="auto"/>
        <w:rPr>
          <w:rFonts w:cs="Times New Roman"/>
          <w:b/>
        </w:rPr>
      </w:pPr>
    </w:p>
    <w:p w14:paraId="6AF60E48" w14:textId="7A06C174" w:rsidR="00B37C46" w:rsidRDefault="00B37C46" w:rsidP="00B37C46">
      <w:pPr>
        <w:autoSpaceDE w:val="0"/>
        <w:autoSpaceDN w:val="0"/>
        <w:adjustRightInd w:val="0"/>
        <w:spacing w:after="0" w:line="240" w:lineRule="auto"/>
        <w:rPr>
          <w:rFonts w:cs="Times New Roman"/>
          <w:b/>
        </w:rPr>
      </w:pPr>
      <w:r>
        <w:rPr>
          <w:rFonts w:cs="Times New Roman"/>
          <w:b/>
        </w:rPr>
        <w:lastRenderedPageBreak/>
        <w:t xml:space="preserve">Table 2: </w:t>
      </w:r>
      <w:r>
        <w:rPr>
          <w:rFonts w:cs="Times New Roman"/>
          <w:b/>
          <w:color w:val="000000"/>
          <w:shd w:val="clear" w:color="auto" w:fill="FEFFFF"/>
        </w:rPr>
        <w:t xml:space="preserve">Is there any significant relationship </w:t>
      </w:r>
      <w:r>
        <w:rPr>
          <w:rFonts w:cs="Times New Roman"/>
          <w:b/>
          <w:color w:val="000000"/>
        </w:rPr>
        <w:t>between</w:t>
      </w:r>
      <w:r>
        <w:rPr>
          <w:rFonts w:cs="Times New Roman"/>
          <w:b/>
          <w:color w:val="000000"/>
          <w:shd w:val="clear" w:color="auto" w:fill="FEFFFF"/>
        </w:rPr>
        <w:t xml:space="preserve"> the impact of port </w:t>
      </w:r>
      <w:r>
        <w:rPr>
          <w:rFonts w:cs="Times New Roman"/>
          <w:b/>
          <w:color w:val="000000"/>
        </w:rPr>
        <w:t xml:space="preserve">concession </w:t>
      </w:r>
      <w:r>
        <w:rPr>
          <w:rFonts w:cs="Times New Roman"/>
          <w:b/>
          <w:color w:val="000000"/>
          <w:shd w:val="clear" w:color="auto" w:fill="FEFFFF"/>
        </w:rPr>
        <w:t>and port congestion</w:t>
      </w:r>
    </w:p>
    <w:tbl>
      <w:tblPr>
        <w:tblStyle w:val="TableGrid"/>
        <w:tblW w:w="0" w:type="auto"/>
        <w:tblLook w:val="04A0" w:firstRow="1" w:lastRow="0" w:firstColumn="1" w:lastColumn="0" w:noHBand="0" w:noVBand="1"/>
      </w:tblPr>
      <w:tblGrid>
        <w:gridCol w:w="1810"/>
        <w:gridCol w:w="1656"/>
        <w:gridCol w:w="1667"/>
        <w:gridCol w:w="1190"/>
        <w:gridCol w:w="1043"/>
        <w:gridCol w:w="1418"/>
      </w:tblGrid>
      <w:tr w:rsidR="00B37C46" w14:paraId="04B7015C" w14:textId="77777777" w:rsidTr="00566D79">
        <w:tc>
          <w:tcPr>
            <w:tcW w:w="1810" w:type="dxa"/>
          </w:tcPr>
          <w:p w14:paraId="7C8ECE4C" w14:textId="77777777" w:rsidR="00B37C46" w:rsidRDefault="00B37C46" w:rsidP="00566D79">
            <w:pPr>
              <w:rPr>
                <w:rFonts w:cs="Times New Roman"/>
                <w:b/>
                <w:szCs w:val="24"/>
              </w:rPr>
            </w:pPr>
            <w:r>
              <w:rPr>
                <w:rFonts w:cs="Times New Roman"/>
                <w:b/>
                <w:szCs w:val="24"/>
              </w:rPr>
              <w:t xml:space="preserve">Response </w:t>
            </w:r>
          </w:p>
        </w:tc>
        <w:tc>
          <w:tcPr>
            <w:tcW w:w="1656" w:type="dxa"/>
          </w:tcPr>
          <w:p w14:paraId="0D8D3A6A" w14:textId="77777777" w:rsidR="00B37C46" w:rsidRDefault="00B37C46" w:rsidP="00566D79">
            <w:pPr>
              <w:rPr>
                <w:rFonts w:cs="Times New Roman"/>
                <w:b/>
                <w:szCs w:val="24"/>
              </w:rPr>
            </w:pPr>
            <w:r>
              <w:rPr>
                <w:rFonts w:cs="Times New Roman"/>
                <w:b/>
                <w:szCs w:val="24"/>
              </w:rPr>
              <w:t>Observed Frequency(O)</w:t>
            </w:r>
          </w:p>
        </w:tc>
        <w:tc>
          <w:tcPr>
            <w:tcW w:w="1667" w:type="dxa"/>
          </w:tcPr>
          <w:p w14:paraId="7E06B145" w14:textId="77777777" w:rsidR="00B37C46" w:rsidRDefault="00B37C46" w:rsidP="00566D79">
            <w:pPr>
              <w:rPr>
                <w:rFonts w:cs="Times New Roman"/>
                <w:b/>
                <w:szCs w:val="24"/>
              </w:rPr>
            </w:pPr>
            <w:r>
              <w:rPr>
                <w:rFonts w:cs="Times New Roman"/>
                <w:b/>
                <w:szCs w:val="24"/>
              </w:rPr>
              <w:t xml:space="preserve">Expected </w:t>
            </w:r>
          </w:p>
          <w:p w14:paraId="61CBB02E" w14:textId="77777777" w:rsidR="00B37C46" w:rsidRDefault="00B37C46" w:rsidP="00566D79">
            <w:pPr>
              <w:rPr>
                <w:rFonts w:cs="Times New Roman"/>
                <w:b/>
                <w:szCs w:val="24"/>
              </w:rPr>
            </w:pPr>
            <w:r>
              <w:rPr>
                <w:rFonts w:cs="Times New Roman"/>
                <w:b/>
                <w:szCs w:val="24"/>
              </w:rPr>
              <w:t>Frequency(E)</w:t>
            </w:r>
          </w:p>
        </w:tc>
        <w:tc>
          <w:tcPr>
            <w:tcW w:w="1190" w:type="dxa"/>
          </w:tcPr>
          <w:p w14:paraId="5E32C853" w14:textId="77777777" w:rsidR="00B37C46" w:rsidRDefault="00B37C46" w:rsidP="00566D79">
            <w:pPr>
              <w:rPr>
                <w:rFonts w:cs="Times New Roman"/>
                <w:b/>
                <w:szCs w:val="24"/>
              </w:rPr>
            </w:pPr>
            <w:r>
              <w:rPr>
                <w:rFonts w:cs="Times New Roman"/>
                <w:b/>
                <w:szCs w:val="24"/>
              </w:rPr>
              <w:t xml:space="preserve">Residual </w:t>
            </w:r>
          </w:p>
          <w:p w14:paraId="5D3BFC68" w14:textId="77777777" w:rsidR="00B37C46" w:rsidRDefault="00B37C46" w:rsidP="00566D79">
            <w:pPr>
              <w:rPr>
                <w:rFonts w:cs="Times New Roman"/>
                <w:b/>
                <w:szCs w:val="24"/>
              </w:rPr>
            </w:pPr>
            <w:r>
              <w:rPr>
                <w:rFonts w:cs="Times New Roman"/>
                <w:b/>
                <w:szCs w:val="24"/>
              </w:rPr>
              <w:t>(O -E)</w:t>
            </w:r>
          </w:p>
        </w:tc>
        <w:tc>
          <w:tcPr>
            <w:tcW w:w="1043" w:type="dxa"/>
          </w:tcPr>
          <w:p w14:paraId="614EFCF8" w14:textId="77777777" w:rsidR="00B37C46" w:rsidRDefault="00B37C46" w:rsidP="00566D79">
            <w:pPr>
              <w:rPr>
                <w:rFonts w:cs="Times New Roman"/>
                <w:b/>
                <w:szCs w:val="24"/>
              </w:rPr>
            </w:pPr>
            <w:r>
              <w:rPr>
                <w:rFonts w:cs="Times New Roman"/>
                <w:b/>
                <w:szCs w:val="24"/>
              </w:rPr>
              <w:t>(O -E)</w:t>
            </w:r>
            <w:r>
              <w:rPr>
                <w:rFonts w:cs="Times New Roman"/>
                <w:b/>
                <w:szCs w:val="24"/>
                <w:vertAlign w:val="superscript"/>
              </w:rPr>
              <w:t>2</w:t>
            </w:r>
          </w:p>
        </w:tc>
        <w:tc>
          <w:tcPr>
            <w:tcW w:w="1418" w:type="dxa"/>
          </w:tcPr>
          <w:p w14:paraId="2E4B921B" w14:textId="77777777" w:rsidR="00B37C46" w:rsidRDefault="00B37C46" w:rsidP="00566D79">
            <w:pPr>
              <w:rPr>
                <w:rFonts w:cs="Times New Roman"/>
                <w:b/>
                <w:szCs w:val="24"/>
                <w:u w:val="single"/>
                <w:vertAlign w:val="superscript"/>
              </w:rPr>
            </w:pPr>
            <w:r>
              <w:rPr>
                <w:rFonts w:cs="Times New Roman"/>
                <w:b/>
                <w:szCs w:val="24"/>
              </w:rPr>
              <w:t xml:space="preserve">X= </w:t>
            </w:r>
            <w:r>
              <w:rPr>
                <w:rFonts w:cs="Times New Roman"/>
                <w:b/>
                <w:szCs w:val="24"/>
                <w:u w:val="single"/>
              </w:rPr>
              <w:t>(O -E)</w:t>
            </w:r>
            <w:r>
              <w:rPr>
                <w:rFonts w:cs="Times New Roman"/>
                <w:b/>
                <w:szCs w:val="24"/>
                <w:u w:val="single"/>
                <w:vertAlign w:val="superscript"/>
              </w:rPr>
              <w:t>2</w:t>
            </w:r>
          </w:p>
          <w:p w14:paraId="2430F1BF" w14:textId="77777777" w:rsidR="00B37C46" w:rsidRDefault="00B37C46" w:rsidP="00566D79">
            <w:pPr>
              <w:rPr>
                <w:rFonts w:cs="Times New Roman"/>
                <w:b/>
                <w:szCs w:val="24"/>
              </w:rPr>
            </w:pPr>
            <w:r>
              <w:rPr>
                <w:rFonts w:cs="Times New Roman"/>
                <w:b/>
                <w:szCs w:val="24"/>
              </w:rPr>
              <w:t xml:space="preserve">          E</w:t>
            </w:r>
          </w:p>
        </w:tc>
      </w:tr>
      <w:tr w:rsidR="00B37C46" w14:paraId="01776842" w14:textId="77777777" w:rsidTr="00566D79">
        <w:tc>
          <w:tcPr>
            <w:tcW w:w="1810" w:type="dxa"/>
          </w:tcPr>
          <w:p w14:paraId="7BBBD925" w14:textId="77777777" w:rsidR="00B37C46" w:rsidRDefault="00B37C46" w:rsidP="00566D79">
            <w:pPr>
              <w:rPr>
                <w:rFonts w:cs="Times New Roman"/>
                <w:szCs w:val="24"/>
              </w:rPr>
            </w:pPr>
            <w:r>
              <w:rPr>
                <w:rFonts w:cs="Times New Roman"/>
                <w:szCs w:val="24"/>
              </w:rPr>
              <w:t xml:space="preserve">Strongly Agreed </w:t>
            </w:r>
          </w:p>
        </w:tc>
        <w:tc>
          <w:tcPr>
            <w:tcW w:w="1656" w:type="dxa"/>
          </w:tcPr>
          <w:p w14:paraId="70865F84"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111</w:t>
            </w:r>
          </w:p>
        </w:tc>
        <w:tc>
          <w:tcPr>
            <w:tcW w:w="1667" w:type="dxa"/>
          </w:tcPr>
          <w:p w14:paraId="6E0B4D8D" w14:textId="77777777" w:rsidR="00B37C46" w:rsidRDefault="00B37C46" w:rsidP="00566D79">
            <w:pPr>
              <w:rPr>
                <w:rFonts w:cs="Times New Roman"/>
                <w:szCs w:val="24"/>
              </w:rPr>
            </w:pPr>
            <w:r>
              <w:rPr>
                <w:rFonts w:cs="Times New Roman"/>
                <w:szCs w:val="24"/>
              </w:rPr>
              <w:t>82.75</w:t>
            </w:r>
          </w:p>
        </w:tc>
        <w:tc>
          <w:tcPr>
            <w:tcW w:w="1190" w:type="dxa"/>
          </w:tcPr>
          <w:p w14:paraId="42AB0B24" w14:textId="77777777" w:rsidR="00B37C46" w:rsidRDefault="00B37C46" w:rsidP="00566D79">
            <w:pPr>
              <w:rPr>
                <w:rFonts w:cs="Times New Roman"/>
                <w:szCs w:val="24"/>
              </w:rPr>
            </w:pPr>
            <w:r>
              <w:rPr>
                <w:rFonts w:cs="Times New Roman"/>
                <w:szCs w:val="24"/>
              </w:rPr>
              <w:t>28.25</w:t>
            </w:r>
          </w:p>
        </w:tc>
        <w:tc>
          <w:tcPr>
            <w:tcW w:w="1043" w:type="dxa"/>
          </w:tcPr>
          <w:p w14:paraId="36D733BA" w14:textId="77777777" w:rsidR="00B37C46" w:rsidRDefault="00B37C46" w:rsidP="00566D79">
            <w:pPr>
              <w:rPr>
                <w:rFonts w:cs="Times New Roman"/>
                <w:szCs w:val="24"/>
              </w:rPr>
            </w:pPr>
            <w:r>
              <w:rPr>
                <w:rFonts w:cs="Times New Roman"/>
                <w:szCs w:val="24"/>
              </w:rPr>
              <w:t>798.06</w:t>
            </w:r>
          </w:p>
        </w:tc>
        <w:tc>
          <w:tcPr>
            <w:tcW w:w="1418" w:type="dxa"/>
          </w:tcPr>
          <w:p w14:paraId="78E843A1" w14:textId="77777777" w:rsidR="00B37C46" w:rsidRDefault="00B37C46" w:rsidP="00566D79">
            <w:pPr>
              <w:rPr>
                <w:rFonts w:cs="Times New Roman"/>
                <w:szCs w:val="24"/>
              </w:rPr>
            </w:pPr>
            <w:r>
              <w:rPr>
                <w:rFonts w:cs="Times New Roman"/>
                <w:szCs w:val="24"/>
              </w:rPr>
              <w:t>9.64</w:t>
            </w:r>
          </w:p>
        </w:tc>
      </w:tr>
      <w:tr w:rsidR="00B37C46" w14:paraId="010E3938" w14:textId="77777777" w:rsidTr="00566D79">
        <w:tc>
          <w:tcPr>
            <w:tcW w:w="1810" w:type="dxa"/>
          </w:tcPr>
          <w:p w14:paraId="5CE76DB0" w14:textId="77777777" w:rsidR="00B37C46" w:rsidRDefault="00B37C46" w:rsidP="00566D79">
            <w:pPr>
              <w:rPr>
                <w:rFonts w:cs="Times New Roman"/>
                <w:szCs w:val="24"/>
              </w:rPr>
            </w:pPr>
            <w:r>
              <w:rPr>
                <w:rFonts w:cs="Times New Roman"/>
                <w:szCs w:val="24"/>
              </w:rPr>
              <w:t>Agreed</w:t>
            </w:r>
          </w:p>
        </w:tc>
        <w:tc>
          <w:tcPr>
            <w:tcW w:w="1656" w:type="dxa"/>
          </w:tcPr>
          <w:p w14:paraId="3567DE3E"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121</w:t>
            </w:r>
          </w:p>
        </w:tc>
        <w:tc>
          <w:tcPr>
            <w:tcW w:w="1667" w:type="dxa"/>
          </w:tcPr>
          <w:p w14:paraId="6CC5C5A4" w14:textId="77777777" w:rsidR="00B37C46" w:rsidRDefault="00B37C46" w:rsidP="00566D79">
            <w:pPr>
              <w:rPr>
                <w:rFonts w:cs="Times New Roman"/>
                <w:szCs w:val="24"/>
              </w:rPr>
            </w:pPr>
            <w:r>
              <w:rPr>
                <w:rFonts w:cs="Times New Roman"/>
                <w:szCs w:val="24"/>
              </w:rPr>
              <w:t>82.75</w:t>
            </w:r>
          </w:p>
        </w:tc>
        <w:tc>
          <w:tcPr>
            <w:tcW w:w="1190" w:type="dxa"/>
          </w:tcPr>
          <w:p w14:paraId="7A3C0B9A" w14:textId="77777777" w:rsidR="00B37C46" w:rsidRDefault="00B37C46" w:rsidP="00566D79">
            <w:pPr>
              <w:rPr>
                <w:rFonts w:cs="Times New Roman"/>
                <w:szCs w:val="24"/>
              </w:rPr>
            </w:pPr>
            <w:r>
              <w:rPr>
                <w:rFonts w:cs="Times New Roman"/>
                <w:szCs w:val="24"/>
              </w:rPr>
              <w:t>38.25</w:t>
            </w:r>
          </w:p>
        </w:tc>
        <w:tc>
          <w:tcPr>
            <w:tcW w:w="1043" w:type="dxa"/>
          </w:tcPr>
          <w:p w14:paraId="6C9609DB" w14:textId="77777777" w:rsidR="00B37C46" w:rsidRDefault="00B37C46" w:rsidP="00566D79">
            <w:pPr>
              <w:rPr>
                <w:rFonts w:cs="Times New Roman"/>
                <w:szCs w:val="24"/>
              </w:rPr>
            </w:pPr>
            <w:r>
              <w:rPr>
                <w:rFonts w:cs="Times New Roman"/>
                <w:szCs w:val="24"/>
              </w:rPr>
              <w:t>1463.06</w:t>
            </w:r>
          </w:p>
        </w:tc>
        <w:tc>
          <w:tcPr>
            <w:tcW w:w="1418" w:type="dxa"/>
          </w:tcPr>
          <w:p w14:paraId="5304FA96" w14:textId="77777777" w:rsidR="00B37C46" w:rsidRDefault="00B37C46" w:rsidP="00566D79">
            <w:pPr>
              <w:rPr>
                <w:rFonts w:cs="Times New Roman"/>
                <w:szCs w:val="24"/>
              </w:rPr>
            </w:pPr>
            <w:r>
              <w:rPr>
                <w:rFonts w:cs="Times New Roman"/>
                <w:szCs w:val="24"/>
              </w:rPr>
              <w:t>17.68</w:t>
            </w:r>
          </w:p>
        </w:tc>
      </w:tr>
      <w:tr w:rsidR="00B37C46" w14:paraId="33F3113E" w14:textId="77777777" w:rsidTr="00566D79">
        <w:tc>
          <w:tcPr>
            <w:tcW w:w="1810" w:type="dxa"/>
          </w:tcPr>
          <w:p w14:paraId="19B5BBF7" w14:textId="77777777" w:rsidR="00B37C46" w:rsidRDefault="00B37C46" w:rsidP="00566D79">
            <w:pPr>
              <w:rPr>
                <w:rFonts w:cs="Times New Roman"/>
                <w:szCs w:val="24"/>
              </w:rPr>
            </w:pPr>
            <w:r>
              <w:rPr>
                <w:rFonts w:cs="Times New Roman"/>
                <w:szCs w:val="24"/>
              </w:rPr>
              <w:t xml:space="preserve">Disagreed </w:t>
            </w:r>
          </w:p>
        </w:tc>
        <w:tc>
          <w:tcPr>
            <w:tcW w:w="1656" w:type="dxa"/>
          </w:tcPr>
          <w:p w14:paraId="6BF8A30F"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76</w:t>
            </w:r>
          </w:p>
        </w:tc>
        <w:tc>
          <w:tcPr>
            <w:tcW w:w="1667" w:type="dxa"/>
          </w:tcPr>
          <w:p w14:paraId="3C9461DC" w14:textId="77777777" w:rsidR="00B37C46" w:rsidRDefault="00B37C46" w:rsidP="00566D79">
            <w:pPr>
              <w:rPr>
                <w:rFonts w:cs="Times New Roman"/>
                <w:szCs w:val="24"/>
              </w:rPr>
            </w:pPr>
            <w:r>
              <w:rPr>
                <w:rFonts w:cs="Times New Roman"/>
                <w:szCs w:val="24"/>
              </w:rPr>
              <w:t>82.75</w:t>
            </w:r>
          </w:p>
        </w:tc>
        <w:tc>
          <w:tcPr>
            <w:tcW w:w="1190" w:type="dxa"/>
          </w:tcPr>
          <w:p w14:paraId="237B0A44" w14:textId="77777777" w:rsidR="00B37C46" w:rsidRDefault="00B37C46" w:rsidP="00566D79">
            <w:pPr>
              <w:rPr>
                <w:rFonts w:cs="Times New Roman"/>
                <w:szCs w:val="24"/>
              </w:rPr>
            </w:pPr>
            <w:r>
              <w:rPr>
                <w:rFonts w:cs="Times New Roman"/>
                <w:szCs w:val="24"/>
              </w:rPr>
              <w:t>-6.75</w:t>
            </w:r>
          </w:p>
        </w:tc>
        <w:tc>
          <w:tcPr>
            <w:tcW w:w="1043" w:type="dxa"/>
          </w:tcPr>
          <w:p w14:paraId="4245A845" w14:textId="77777777" w:rsidR="00B37C46" w:rsidRDefault="00B37C46" w:rsidP="00566D79">
            <w:pPr>
              <w:rPr>
                <w:rFonts w:cs="Times New Roman"/>
                <w:szCs w:val="24"/>
              </w:rPr>
            </w:pPr>
            <w:r>
              <w:rPr>
                <w:rFonts w:cs="Times New Roman"/>
                <w:szCs w:val="24"/>
              </w:rPr>
              <w:t>45.56</w:t>
            </w:r>
          </w:p>
        </w:tc>
        <w:tc>
          <w:tcPr>
            <w:tcW w:w="1418" w:type="dxa"/>
          </w:tcPr>
          <w:p w14:paraId="0555498B" w14:textId="77777777" w:rsidR="00B37C46" w:rsidRDefault="00B37C46" w:rsidP="00566D79">
            <w:pPr>
              <w:rPr>
                <w:rFonts w:cs="Times New Roman"/>
                <w:szCs w:val="24"/>
              </w:rPr>
            </w:pPr>
            <w:r>
              <w:rPr>
                <w:rFonts w:cs="Times New Roman"/>
                <w:szCs w:val="24"/>
              </w:rPr>
              <w:t>0.55</w:t>
            </w:r>
          </w:p>
        </w:tc>
      </w:tr>
      <w:tr w:rsidR="00B37C46" w14:paraId="31DE9573" w14:textId="77777777" w:rsidTr="00566D79">
        <w:tc>
          <w:tcPr>
            <w:tcW w:w="1810" w:type="dxa"/>
          </w:tcPr>
          <w:p w14:paraId="0EE956C3" w14:textId="77777777" w:rsidR="00B37C46" w:rsidRDefault="00B37C46" w:rsidP="00566D79">
            <w:pPr>
              <w:rPr>
                <w:rFonts w:cs="Times New Roman"/>
                <w:szCs w:val="24"/>
              </w:rPr>
            </w:pPr>
            <w:r>
              <w:rPr>
                <w:rFonts w:cs="Times New Roman"/>
                <w:szCs w:val="24"/>
              </w:rPr>
              <w:t>Strongly Disagreed</w:t>
            </w:r>
          </w:p>
        </w:tc>
        <w:tc>
          <w:tcPr>
            <w:tcW w:w="1656" w:type="dxa"/>
          </w:tcPr>
          <w:p w14:paraId="28B22526" w14:textId="77777777" w:rsidR="00B37C46" w:rsidRDefault="00B37C46" w:rsidP="00566D79">
            <w:pPr>
              <w:autoSpaceDE w:val="0"/>
              <w:autoSpaceDN w:val="0"/>
              <w:adjustRightInd w:val="0"/>
              <w:rPr>
                <w:rFonts w:cs="Times New Roman"/>
                <w:szCs w:val="24"/>
              </w:rPr>
            </w:pPr>
            <w:r>
              <w:rPr>
                <w:rFonts w:cs="Times New Roman"/>
                <w:color w:val="000000"/>
                <w:szCs w:val="24"/>
                <w:shd w:val="clear" w:color="auto" w:fill="FEFFFF"/>
              </w:rPr>
              <w:t>23</w:t>
            </w:r>
          </w:p>
        </w:tc>
        <w:tc>
          <w:tcPr>
            <w:tcW w:w="1667" w:type="dxa"/>
          </w:tcPr>
          <w:p w14:paraId="5547E005" w14:textId="77777777" w:rsidR="00B37C46" w:rsidRDefault="00B37C46" w:rsidP="00566D79">
            <w:pPr>
              <w:rPr>
                <w:rFonts w:cs="Times New Roman"/>
                <w:szCs w:val="24"/>
              </w:rPr>
            </w:pPr>
            <w:r>
              <w:rPr>
                <w:rFonts w:cs="Times New Roman"/>
                <w:szCs w:val="24"/>
              </w:rPr>
              <w:t>82.75</w:t>
            </w:r>
          </w:p>
        </w:tc>
        <w:tc>
          <w:tcPr>
            <w:tcW w:w="1190" w:type="dxa"/>
          </w:tcPr>
          <w:p w14:paraId="416A0904" w14:textId="77777777" w:rsidR="00B37C46" w:rsidRDefault="00B37C46" w:rsidP="00566D79">
            <w:pPr>
              <w:rPr>
                <w:rFonts w:cs="Times New Roman"/>
                <w:szCs w:val="24"/>
              </w:rPr>
            </w:pPr>
            <w:r>
              <w:rPr>
                <w:rFonts w:cs="Times New Roman"/>
                <w:szCs w:val="24"/>
              </w:rPr>
              <w:t>-59.75</w:t>
            </w:r>
          </w:p>
        </w:tc>
        <w:tc>
          <w:tcPr>
            <w:tcW w:w="1043" w:type="dxa"/>
          </w:tcPr>
          <w:p w14:paraId="1BE8B932" w14:textId="77777777" w:rsidR="00B37C46" w:rsidRDefault="00B37C46" w:rsidP="00566D79">
            <w:pPr>
              <w:rPr>
                <w:rFonts w:cs="Times New Roman"/>
                <w:szCs w:val="24"/>
              </w:rPr>
            </w:pPr>
            <w:r>
              <w:rPr>
                <w:rFonts w:cs="Times New Roman"/>
                <w:szCs w:val="24"/>
              </w:rPr>
              <w:t>3570.06</w:t>
            </w:r>
          </w:p>
        </w:tc>
        <w:tc>
          <w:tcPr>
            <w:tcW w:w="1418" w:type="dxa"/>
          </w:tcPr>
          <w:p w14:paraId="4A15655E" w14:textId="77777777" w:rsidR="00B37C46" w:rsidRDefault="00B37C46" w:rsidP="00566D79">
            <w:pPr>
              <w:rPr>
                <w:rFonts w:cs="Times New Roman"/>
                <w:szCs w:val="24"/>
              </w:rPr>
            </w:pPr>
            <w:r>
              <w:rPr>
                <w:rFonts w:cs="Times New Roman"/>
                <w:szCs w:val="24"/>
              </w:rPr>
              <w:t>43.14</w:t>
            </w:r>
          </w:p>
        </w:tc>
      </w:tr>
      <w:tr w:rsidR="00B37C46" w14:paraId="00F36F02" w14:textId="77777777" w:rsidTr="00566D79">
        <w:tc>
          <w:tcPr>
            <w:tcW w:w="1810" w:type="dxa"/>
          </w:tcPr>
          <w:p w14:paraId="43182F80" w14:textId="77777777" w:rsidR="00B37C46" w:rsidRDefault="00B37C46" w:rsidP="00566D79">
            <w:pPr>
              <w:rPr>
                <w:rFonts w:cs="Times New Roman"/>
                <w:b/>
                <w:szCs w:val="24"/>
              </w:rPr>
            </w:pPr>
            <w:r>
              <w:rPr>
                <w:rFonts w:cs="Times New Roman"/>
                <w:b/>
                <w:szCs w:val="24"/>
              </w:rPr>
              <w:t xml:space="preserve">Total </w:t>
            </w:r>
          </w:p>
        </w:tc>
        <w:tc>
          <w:tcPr>
            <w:tcW w:w="1656" w:type="dxa"/>
          </w:tcPr>
          <w:p w14:paraId="11E3095C" w14:textId="77777777" w:rsidR="00B37C46" w:rsidRDefault="00B37C46" w:rsidP="00566D79">
            <w:pPr>
              <w:rPr>
                <w:rFonts w:cs="Times New Roman"/>
                <w:b/>
                <w:szCs w:val="24"/>
              </w:rPr>
            </w:pPr>
            <w:r>
              <w:rPr>
                <w:rFonts w:cs="Times New Roman"/>
                <w:b/>
                <w:szCs w:val="24"/>
              </w:rPr>
              <w:t>331</w:t>
            </w:r>
          </w:p>
        </w:tc>
        <w:tc>
          <w:tcPr>
            <w:tcW w:w="1667" w:type="dxa"/>
          </w:tcPr>
          <w:p w14:paraId="4DEAC951" w14:textId="77777777" w:rsidR="00B37C46" w:rsidRDefault="00B37C46" w:rsidP="00566D79">
            <w:pPr>
              <w:rPr>
                <w:rFonts w:cs="Times New Roman"/>
                <w:b/>
                <w:szCs w:val="24"/>
              </w:rPr>
            </w:pPr>
            <w:r>
              <w:rPr>
                <w:rFonts w:cs="Times New Roman"/>
                <w:b/>
                <w:szCs w:val="24"/>
              </w:rPr>
              <w:t>331</w:t>
            </w:r>
          </w:p>
        </w:tc>
        <w:tc>
          <w:tcPr>
            <w:tcW w:w="1190" w:type="dxa"/>
          </w:tcPr>
          <w:p w14:paraId="4339F96C" w14:textId="77777777" w:rsidR="00B37C46" w:rsidRDefault="00B37C46" w:rsidP="00566D79">
            <w:pPr>
              <w:rPr>
                <w:rFonts w:cs="Times New Roman"/>
                <w:b/>
                <w:szCs w:val="24"/>
              </w:rPr>
            </w:pPr>
            <w:r>
              <w:rPr>
                <w:rFonts w:cs="Times New Roman"/>
                <w:b/>
                <w:szCs w:val="24"/>
              </w:rPr>
              <w:t>0</w:t>
            </w:r>
          </w:p>
        </w:tc>
        <w:tc>
          <w:tcPr>
            <w:tcW w:w="1043" w:type="dxa"/>
          </w:tcPr>
          <w:p w14:paraId="22228BA3" w14:textId="77777777" w:rsidR="00B37C46" w:rsidRDefault="00B37C46" w:rsidP="00566D79">
            <w:pPr>
              <w:rPr>
                <w:rFonts w:cs="Times New Roman"/>
                <w:b/>
                <w:szCs w:val="24"/>
              </w:rPr>
            </w:pPr>
          </w:p>
        </w:tc>
        <w:tc>
          <w:tcPr>
            <w:tcW w:w="1418" w:type="dxa"/>
          </w:tcPr>
          <w:p w14:paraId="2253B92B" w14:textId="77777777" w:rsidR="00B37C46" w:rsidRDefault="00B37C46" w:rsidP="00566D79">
            <w:pPr>
              <w:rPr>
                <w:rFonts w:cs="Times New Roman"/>
                <w:b/>
                <w:szCs w:val="24"/>
              </w:rPr>
            </w:pPr>
            <w:r>
              <w:rPr>
                <w:rFonts w:cs="Times New Roman"/>
                <w:b/>
                <w:szCs w:val="24"/>
              </w:rPr>
              <w:t>71.01</w:t>
            </w:r>
          </w:p>
        </w:tc>
      </w:tr>
    </w:tbl>
    <w:p w14:paraId="15F63EAD" w14:textId="77777777" w:rsidR="00B37C46" w:rsidRDefault="00B37C46" w:rsidP="00B37C46">
      <w:pPr>
        <w:autoSpaceDE w:val="0"/>
        <w:autoSpaceDN w:val="0"/>
        <w:adjustRightInd w:val="0"/>
        <w:spacing w:after="0" w:line="480" w:lineRule="auto"/>
        <w:rPr>
          <w:rFonts w:cs="Times New Roman"/>
        </w:rPr>
      </w:pPr>
      <w:r>
        <w:rPr>
          <w:rFonts w:cs="Times New Roman"/>
        </w:rPr>
        <w:t>Sources: Field Survey, 2026</w:t>
      </w:r>
    </w:p>
    <w:p w14:paraId="22CF2700" w14:textId="77777777" w:rsidR="00B37C46" w:rsidRDefault="00B37C46" w:rsidP="00B37C46">
      <w:pPr>
        <w:pStyle w:val="NormalWeb"/>
        <w:spacing w:before="0" w:beforeAutospacing="0" w:after="0" w:afterAutospacing="0" w:line="276" w:lineRule="auto"/>
        <w:jc w:val="both"/>
      </w:pPr>
      <w:r>
        <w:t>From the table above, the chi-square value (X²) calculated is 71.01.</w:t>
      </w:r>
    </w:p>
    <w:p w14:paraId="0017FA2A" w14:textId="77777777" w:rsidR="00B37C46" w:rsidRDefault="00B37C46" w:rsidP="00B37C46">
      <w:pPr>
        <w:pStyle w:val="NormalWeb"/>
        <w:spacing w:before="0" w:beforeAutospacing="0" w:after="0" w:afterAutospacing="0" w:line="276" w:lineRule="auto"/>
        <w:jc w:val="both"/>
      </w:pPr>
      <w:r>
        <w:t>However, our chi-square tabulation is delivered as follows:</w:t>
      </w:r>
    </w:p>
    <w:p w14:paraId="32E4E035" w14:textId="77777777" w:rsidR="00B37C46" w:rsidRDefault="00B37C46" w:rsidP="00B37C46">
      <w:pPr>
        <w:pStyle w:val="NormalWeb"/>
        <w:spacing w:before="0" w:beforeAutospacing="0" w:after="0" w:afterAutospacing="0" w:line="276" w:lineRule="auto"/>
        <w:jc w:val="both"/>
      </w:pPr>
      <w:r>
        <w:t>Degree of Freedom (DF) = (C-1) (R-1)</w:t>
      </w:r>
    </w:p>
    <w:p w14:paraId="117A2344" w14:textId="77777777" w:rsidR="00B37C46" w:rsidRDefault="00B37C46" w:rsidP="00B37C46">
      <w:pPr>
        <w:pStyle w:val="NormalWeb"/>
        <w:spacing w:before="0" w:beforeAutospacing="0" w:after="0" w:afterAutospacing="0" w:line="276" w:lineRule="auto"/>
        <w:jc w:val="both"/>
      </w:pPr>
      <w:r>
        <w:t>(4-1) (2-1)</w:t>
      </w:r>
    </w:p>
    <w:p w14:paraId="15A7B48C" w14:textId="77777777" w:rsidR="00B37C46" w:rsidRDefault="00B37C46" w:rsidP="00B37C46">
      <w:pPr>
        <w:pStyle w:val="NormalWeb"/>
        <w:spacing w:before="0" w:beforeAutospacing="0" w:after="0" w:afterAutospacing="0" w:line="276" w:lineRule="auto"/>
        <w:jc w:val="both"/>
      </w:pPr>
      <w:r>
        <w:t>3X1</w:t>
      </w:r>
    </w:p>
    <w:p w14:paraId="5DC6099B" w14:textId="77777777" w:rsidR="00B37C46" w:rsidRDefault="00B37C46" w:rsidP="00B37C46">
      <w:pPr>
        <w:pStyle w:val="NormalWeb"/>
        <w:spacing w:before="0" w:beforeAutospacing="0" w:after="0" w:afterAutospacing="0" w:line="276" w:lineRule="auto"/>
        <w:jc w:val="both"/>
      </w:pPr>
      <w:r>
        <w:t>Degree of Freedom (DF) = 3</w:t>
      </w:r>
    </w:p>
    <w:p w14:paraId="116B5DFC" w14:textId="77777777" w:rsidR="00B37C46" w:rsidRDefault="00B37C46" w:rsidP="00B37C46">
      <w:pPr>
        <w:pStyle w:val="NormalWeb"/>
        <w:spacing w:line="276" w:lineRule="auto"/>
        <w:jc w:val="both"/>
      </w:pPr>
      <w:r>
        <w:t>With a significance level of 0.05 and a degree of freedom of 3, the chi-square tabulated is 7.11 (from the statistical table).</w:t>
      </w:r>
    </w:p>
    <w:p w14:paraId="5F014019" w14:textId="77777777" w:rsidR="00B37C46" w:rsidRDefault="00B37C46" w:rsidP="00B37C46">
      <w:pPr>
        <w:pStyle w:val="NormalWeb"/>
        <w:spacing w:line="276" w:lineRule="auto"/>
        <w:jc w:val="both"/>
      </w:pPr>
      <w:r>
        <w:rPr>
          <w:rStyle w:val="Strong"/>
          <w:rFonts w:eastAsiaTheme="majorEastAsia"/>
        </w:rPr>
        <w:t>Decision Rule: Since X²</w:t>
      </w:r>
      <w:r>
        <w:t xml:space="preserve"> calculated is greater than </w:t>
      </w:r>
      <w:proofErr w:type="gramStart"/>
      <w:r>
        <w:t>X</w:t>
      </w:r>
      <w:proofErr w:type="gramEnd"/>
      <w:r>
        <w:t>² tabulated (71.01 &gt; 7.11) at the 5% significance level and with the degree of 4, we reject the null hypothesis and accept the alternate hypothesis.</w:t>
      </w:r>
    </w:p>
    <w:p w14:paraId="4E04D7B9" w14:textId="77777777" w:rsidR="00B37C46" w:rsidRDefault="00B37C46" w:rsidP="00B37C46">
      <w:pPr>
        <w:pStyle w:val="NormalWeb"/>
        <w:spacing w:line="276" w:lineRule="auto"/>
        <w:jc w:val="both"/>
      </w:pPr>
      <w:r>
        <w:rPr>
          <w:rStyle w:val="Strong"/>
          <w:rFonts w:eastAsiaTheme="majorEastAsia"/>
        </w:rPr>
        <w:t>Conclusion</w:t>
      </w:r>
      <w:r>
        <w:t>: From the result above, it can be concluded there is a significant relationship between the impact of port concession and port congestion.</w:t>
      </w:r>
    </w:p>
    <w:p w14:paraId="2AD4A97A" w14:textId="77777777" w:rsidR="00B37C46" w:rsidRDefault="00B37C46" w:rsidP="00B37C46">
      <w:pPr>
        <w:pStyle w:val="NormalWeb"/>
        <w:spacing w:line="276" w:lineRule="auto"/>
        <w:jc w:val="both"/>
      </w:pPr>
      <w:r>
        <w:rPr>
          <w:rStyle w:val="Strong"/>
          <w:rFonts w:eastAsiaTheme="majorEastAsia"/>
        </w:rPr>
        <w:t>Discussion of Findings</w:t>
      </w:r>
    </w:p>
    <w:p w14:paraId="3B767BEC" w14:textId="77777777" w:rsidR="00B37C46" w:rsidRDefault="00B37C46" w:rsidP="00B37C46">
      <w:pPr>
        <w:pStyle w:val="NormalWeb"/>
        <w:spacing w:line="276" w:lineRule="auto"/>
        <w:jc w:val="both"/>
      </w:pPr>
      <w:r>
        <w:t xml:space="preserve">This study was aimed at examining factors contributing to poor seaport performance in Nigeria, particularly Tin Can Island port. The findings of this study revealed that poor port performance is contributed to by several factors such as poor land connections. Social, economic and political challenges; deficiencies and inadequacies in port facilities; shortage of know-how; deficiency in ICT management; and inefficiency of supervision and motivation as shown in the analysis above. Also, the study explained well the appropriate means used for measuring seaport performance. Tools used to measure port performance are the Port Performance Indicators. Seaport performance indicators are categorised into two main branches, namely operational indicators and financial indicators. These indicators are used to measure the performance of the seaports and also to achieve their maximum utilisation and to meet all appropriate international standards. Also, this study had some various measures that need to be instituted so as to promote seaport performance, including </w:t>
      </w:r>
      <w:r>
        <w:lastRenderedPageBreak/>
        <w:t>good customs clearance procedures, installation of modern maritime and port facilities and active connections of seaports to hinterlands.</w:t>
      </w:r>
    </w:p>
    <w:p w14:paraId="4B7CD4F7" w14:textId="77777777" w:rsidR="00B37C46" w:rsidRDefault="00B37C46" w:rsidP="00B37C46">
      <w:pPr>
        <w:pStyle w:val="NormalWeb"/>
        <w:spacing w:line="276" w:lineRule="auto"/>
        <w:jc w:val="both"/>
      </w:pPr>
      <w:r>
        <w:t xml:space="preserve">This study differs from the previous studies due to the following facts: authors like </w:t>
      </w:r>
      <w:proofErr w:type="spellStart"/>
      <w:r>
        <w:t>Mengying</w:t>
      </w:r>
      <w:proofErr w:type="spellEnd"/>
      <w:r>
        <w:t xml:space="preserve"> Feng (2010) conducted a research study which was A Comparative Study of Ports and Their Hinterlands: Factors Determining Port Performance and Choice; the study was in two port regions (China and the UK) and was carried out in two phases. The findings of that research suggest that ports wishing to outperform competitors can do so by improving the factors that are of high importance, such as performances on shipping services, shipping prices, overall logistics cost, logistics services and government support, in descending order, which is based on factor evaluation in this research. The study actually differs from my study. First of all, the study was a comparative study, while my study is a case study. Secondly, findings from his study also differ compared with my findings.</w:t>
      </w:r>
    </w:p>
    <w:p w14:paraId="0F02E578" w14:textId="77777777" w:rsidR="00B37C46" w:rsidRDefault="00B37C46" w:rsidP="00B37C46">
      <w:pPr>
        <w:pStyle w:val="NormalWeb"/>
        <w:spacing w:line="276" w:lineRule="auto"/>
        <w:jc w:val="both"/>
      </w:pPr>
      <w:r>
        <w:t>Furthermore, the study differs from another previous study conducted by Mapunda, Denis (2011), on assessment of port-characterising factors influencing port performance (a case study of Tanga port). The quantitative rather than the qualitative research method of investigation has been applied, while my study adopted mixed research methods. Also, his findings from the study confirmed the positive impact of the geographical location of the port, frequency of ship calls, and level of economic activities as measured by the gross domestic product (GDP) of respective countries which use the port, while government taxes and port charges and cargo mix on port performance are various issues affecting the port's performance. The findings from my study revealed that poor port performance is contributed to by factors like poor hinterland connections, socio-economic and political challenges, deficiencies and inadequacies in port facilities, shortage of know-how, deficiency in ICT management, and inefficiency of supervision and motivation. Also, my study explained well the appropriate means used for measuring seaport performance. Tools used to measure port performance are the Port Performance Indicators. Seaport performance indicators are categorised into two main branches, namely operational indicators and financial indicators. Also, my study had a variety of measures that need to be instituted so as to promote seaport performance, including good customs clearance procedures, installation of modern maritime and port facilities and active connections of seaports with good roads.</w:t>
      </w:r>
    </w:p>
    <w:p w14:paraId="4BDBF4D2" w14:textId="41355368" w:rsidR="00B37C46" w:rsidRDefault="00B37C46" w:rsidP="00B37C46">
      <w:pPr>
        <w:pStyle w:val="NormalWeb"/>
        <w:spacing w:line="276" w:lineRule="auto"/>
        <w:jc w:val="both"/>
      </w:pPr>
      <w:r>
        <w:t xml:space="preserve">Also, this study is somehow similar to the study conducted by </w:t>
      </w:r>
      <w:proofErr w:type="spellStart"/>
      <w:r>
        <w:t>Tongzon</w:t>
      </w:r>
      <w:proofErr w:type="spellEnd"/>
      <w:r>
        <w:t xml:space="preserve"> (1995), the study on determinants of port performance and efficiency. First of all, the research approach used was similar to the one adopted in this study (mixed methods). Secondly, his study revealed that performance is affected by external factors such as political interference, poor infrastructure, and shortage of equipment, which is somehow the same as the findings from this study, which revealed that poor port performance is contributed to by various factors such as poor hinterland connections, socioeconomic and political challenges, deficiencies and inadequacies in port facilities, shortage of know-how, deficiency in ICT management, and inefficiency of supervision and motivation. Whereby the minor difference is that in his study he named only three factors, while this study </w:t>
      </w:r>
      <w:r>
        <w:lastRenderedPageBreak/>
        <w:t>named six factors that can contribute to poor port performance as analysed and explained clearly in this chapter.</w:t>
      </w:r>
    </w:p>
    <w:p w14:paraId="504BFE12" w14:textId="77777777" w:rsidR="00B37C46" w:rsidRDefault="00B37C46" w:rsidP="00B37C46">
      <w:pPr>
        <w:pStyle w:val="NormalWeb"/>
        <w:spacing w:line="276" w:lineRule="auto"/>
        <w:jc w:val="both"/>
      </w:pPr>
      <w:r>
        <w:rPr>
          <w:rStyle w:val="Strong"/>
          <w:rFonts w:eastAsiaTheme="majorEastAsia"/>
        </w:rPr>
        <w:t>Conclusion</w:t>
      </w:r>
    </w:p>
    <w:p w14:paraId="0E5ED3F4" w14:textId="77777777" w:rsidR="00B37C46" w:rsidRDefault="00B37C46" w:rsidP="00B37C46">
      <w:pPr>
        <w:pStyle w:val="NormalWeb"/>
        <w:spacing w:line="276" w:lineRule="auto"/>
        <w:jc w:val="both"/>
      </w:pPr>
      <w:r>
        <w:t>The stability of the economy of the country plays a significant role in the cargo throughput of a nation. With appropriate fiscal and monetary policies initiated and the economy becoming stable, there resulted in economic growth with effect from 1996 and, consequently, the cargo throughput of the port on the increase. Although the turnaround time of ships has been relatively low in relation to the time in other Nigerian ports, it is still high. This is the result of much delay or idle time. Besides, there are seldom poor labour relations or inadequate availability and supply of equipment. The berth occupancy of the port is low. This does not imply that the handling operations have been efficient. This is compromised by the fact that labour productivity is low and turnaround time high. Rather, the berths are many and therefore under-utilised.</w:t>
      </w:r>
    </w:p>
    <w:p w14:paraId="66F60231" w14:textId="77777777" w:rsidR="00B37C46" w:rsidRDefault="00B37C46" w:rsidP="00B37C46">
      <w:pPr>
        <w:pStyle w:val="NormalWeb"/>
        <w:spacing w:line="276" w:lineRule="auto"/>
        <w:jc w:val="both"/>
      </w:pPr>
      <w:r>
        <w:rPr>
          <w:rStyle w:val="Strong"/>
          <w:rFonts w:eastAsiaTheme="majorEastAsia"/>
        </w:rPr>
        <w:t>5.3 Recommendations</w:t>
      </w:r>
    </w:p>
    <w:p w14:paraId="06BF07BE" w14:textId="77777777" w:rsidR="00B37C46" w:rsidRDefault="00B37C46" w:rsidP="00B37C46">
      <w:pPr>
        <w:pStyle w:val="NormalWeb"/>
        <w:spacing w:line="276" w:lineRule="auto"/>
        <w:jc w:val="both"/>
      </w:pPr>
      <w:r>
        <w:t>Based on the study, the author makes the following recommendations for the improvement of services and productivity of the landlord port.</w:t>
      </w:r>
    </w:p>
    <w:p w14:paraId="6998B3C0" w14:textId="77777777" w:rsidR="00B37C46" w:rsidRDefault="00B37C46" w:rsidP="00B37C46">
      <w:pPr>
        <w:pStyle w:val="NormalWeb"/>
        <w:spacing w:line="276" w:lineRule="auto"/>
        <w:jc w:val="both"/>
      </w:pPr>
      <w:r>
        <w:t>·Port tariffs are another important area for freedom from excessive government involvement.</w:t>
      </w:r>
    </w:p>
    <w:p w14:paraId="2234C1A4" w14:textId="77777777" w:rsidR="00B37C46" w:rsidRDefault="00B37C46" w:rsidP="00B37C46">
      <w:pPr>
        <w:pStyle w:val="NormalWeb"/>
        <w:spacing w:line="276" w:lineRule="auto"/>
        <w:jc w:val="both"/>
      </w:pPr>
      <w:r>
        <w:t>·Government should only concentrate on regulating the port industry to ensure it operates in the national interest.</w:t>
      </w:r>
    </w:p>
    <w:p w14:paraId="5CF571D7" w14:textId="77777777" w:rsidR="00B37C46" w:rsidRDefault="00B37C46" w:rsidP="00B37C46">
      <w:pPr>
        <w:pStyle w:val="NormalWeb"/>
        <w:spacing w:line="276" w:lineRule="auto"/>
        <w:jc w:val="both"/>
      </w:pPr>
      <w:r>
        <w:t>· Port policies need to reflect and respond to the continuous changes in macroeconomic policies, in particular the move toward a more open Nigerian economy.</w:t>
      </w:r>
    </w:p>
    <w:p w14:paraId="4F1D26F6" w14:textId="77777777" w:rsidR="00B37C46" w:rsidRDefault="00B37C46" w:rsidP="00B37C46">
      <w:pPr>
        <w:pStyle w:val="NormalWeb"/>
        <w:jc w:val="both"/>
        <w:rPr>
          <w:b/>
        </w:rPr>
      </w:pPr>
      <w:r>
        <w:rPr>
          <w:b/>
        </w:rPr>
        <w:t>REFERENCES</w:t>
      </w:r>
    </w:p>
    <w:p w14:paraId="2C6C8DC0" w14:textId="77777777" w:rsidR="00B37C46" w:rsidRDefault="00B37C46" w:rsidP="00B37C46">
      <w:pPr>
        <w:pStyle w:val="NormalWeb"/>
        <w:tabs>
          <w:tab w:val="left" w:pos="900"/>
        </w:tabs>
        <w:ind w:left="900" w:hanging="900"/>
        <w:jc w:val="both"/>
      </w:pPr>
      <w:r>
        <w:t xml:space="preserve">AAP A. (2009). </w:t>
      </w:r>
      <w:r>
        <w:rPr>
          <w:rStyle w:val="Emphasis"/>
          <w:rFonts w:eastAsiaTheme="majorEastAsia"/>
        </w:rPr>
        <w:t>Global port rankings and cargo traffic statistics</w:t>
      </w:r>
      <w:r>
        <w:t>. International Maritime Statistics Review.</w:t>
      </w:r>
    </w:p>
    <w:p w14:paraId="5B86C52E"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r>
        <w:rPr>
          <w:rFonts w:eastAsia="Times New Roman" w:cs="Times New Roman"/>
        </w:rPr>
        <w:t xml:space="preserve">Bryan, J., &amp; Farrell, D. (1996). </w:t>
      </w:r>
      <w:r>
        <w:rPr>
          <w:rFonts w:eastAsia="Times New Roman" w:cs="Times New Roman"/>
          <w:i/>
          <w:iCs/>
        </w:rPr>
        <w:t>Market-driven port reforms and efficiency improvement</w:t>
      </w:r>
      <w:r>
        <w:rPr>
          <w:rFonts w:eastAsia="Times New Roman" w:cs="Times New Roman"/>
        </w:rPr>
        <w:t xml:space="preserve">. McKinsey Global Institute. </w:t>
      </w:r>
    </w:p>
    <w:p w14:paraId="5C476C05" w14:textId="77777777" w:rsidR="00B37C46" w:rsidRDefault="00B37C46" w:rsidP="00B37C46">
      <w:pPr>
        <w:pStyle w:val="NormalWeb"/>
        <w:tabs>
          <w:tab w:val="left" w:pos="900"/>
        </w:tabs>
        <w:ind w:left="900" w:hanging="900"/>
        <w:jc w:val="both"/>
      </w:pPr>
      <w:r>
        <w:t xml:space="preserve">Comtois, C., &amp; Dong, J. (2007). Port competition between Shanghai and Ningbo. </w:t>
      </w:r>
      <w:r>
        <w:rPr>
          <w:rStyle w:val="Emphasis"/>
          <w:rFonts w:eastAsiaTheme="majorEastAsia"/>
        </w:rPr>
        <w:t>Journal of Transport Geography</w:t>
      </w:r>
      <w:r>
        <w:t>, 15(3), 203–212.</w:t>
      </w:r>
    </w:p>
    <w:p w14:paraId="3B07F4C0" w14:textId="77777777" w:rsidR="00B37C46" w:rsidRDefault="00B37C46" w:rsidP="00B37C46">
      <w:pPr>
        <w:pStyle w:val="NormalWeb"/>
        <w:tabs>
          <w:tab w:val="left" w:pos="900"/>
        </w:tabs>
        <w:ind w:left="900" w:hanging="900"/>
        <w:jc w:val="both"/>
      </w:pPr>
      <w:r>
        <w:t xml:space="preserve">Cullinane, K., Song, D. W., &amp; Gray, R. (2005). A stochastic frontier model of the efficiency of major container terminals in Asia: Assessing the influence of administrative and ownership structures. </w:t>
      </w:r>
      <w:r>
        <w:rPr>
          <w:rStyle w:val="Emphasis"/>
          <w:rFonts w:eastAsiaTheme="majorEastAsia"/>
        </w:rPr>
        <w:t>Transportation Research Part A: Policy and Practice</w:t>
      </w:r>
      <w:r>
        <w:t>, 39(6), 455–476.</w:t>
      </w:r>
    </w:p>
    <w:p w14:paraId="3B454A09" w14:textId="77777777" w:rsidR="00B37C46" w:rsidRDefault="00B37C46" w:rsidP="00B37C46">
      <w:pPr>
        <w:pStyle w:val="NormalWeb"/>
        <w:tabs>
          <w:tab w:val="left" w:pos="900"/>
        </w:tabs>
        <w:ind w:left="900" w:hanging="900"/>
        <w:jc w:val="both"/>
      </w:pPr>
      <w:r>
        <w:lastRenderedPageBreak/>
        <w:t xml:space="preserve">Denis, M. (2011). </w:t>
      </w:r>
      <w:r>
        <w:rPr>
          <w:rStyle w:val="Emphasis"/>
          <w:rFonts w:eastAsiaTheme="majorEastAsia"/>
        </w:rPr>
        <w:t>Assessment of port characterising factors influencing port performance: A case study of Tanga Port</w:t>
      </w:r>
      <w:r>
        <w:t>. Unpublished thesis.</w:t>
      </w:r>
    </w:p>
    <w:p w14:paraId="6C35FE67" w14:textId="77777777" w:rsidR="00B37C46" w:rsidRDefault="00B37C46" w:rsidP="00B37C46">
      <w:pPr>
        <w:pStyle w:val="NormalWeb"/>
        <w:tabs>
          <w:tab w:val="left" w:pos="900"/>
        </w:tabs>
        <w:ind w:left="900" w:hanging="900"/>
        <w:jc w:val="both"/>
      </w:pPr>
      <w:r>
        <w:t xml:space="preserve">Denis, M. (2011). </w:t>
      </w:r>
      <w:r>
        <w:rPr>
          <w:rStyle w:val="Emphasis"/>
          <w:rFonts w:eastAsiaTheme="majorEastAsia"/>
        </w:rPr>
        <w:t>Assessment of port characterizing factors influencing port performance: A case study of Tanga Port</w:t>
      </w:r>
      <w:r>
        <w:t>. Unpublished thesis.</w:t>
      </w:r>
    </w:p>
    <w:p w14:paraId="6E6DAC07"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r>
        <w:rPr>
          <w:rFonts w:eastAsia="Times New Roman" w:cs="Times New Roman"/>
        </w:rPr>
        <w:t xml:space="preserve">Ducruet, C., &amp; Merk, O. (2012). </w:t>
      </w:r>
      <w:r>
        <w:rPr>
          <w:rFonts w:eastAsia="Times New Roman" w:cs="Times New Roman"/>
          <w:i/>
          <w:iCs/>
        </w:rPr>
        <w:t>The determinants of port performance: Evidence from global ports</w:t>
      </w:r>
      <w:r>
        <w:rPr>
          <w:rFonts w:eastAsia="Times New Roman" w:cs="Times New Roman"/>
        </w:rPr>
        <w:t xml:space="preserve">. Organisation for Economic Co-operation and Development Publishing. https://doi.org/10.1787/5k92mpj1kq5w-en </w:t>
      </w:r>
    </w:p>
    <w:p w14:paraId="006D7711" w14:textId="77777777" w:rsidR="00B37C46" w:rsidRDefault="00B37C46" w:rsidP="00B37C46">
      <w:pPr>
        <w:pStyle w:val="NormalWeb"/>
        <w:tabs>
          <w:tab w:val="left" w:pos="900"/>
        </w:tabs>
        <w:ind w:left="900" w:hanging="900"/>
        <w:jc w:val="both"/>
      </w:pPr>
      <w:r>
        <w:t xml:space="preserve">Ducruet, C., &amp; Merk, O. (2012). The governance of ports and the role of regulatory frameworks. </w:t>
      </w:r>
      <w:r>
        <w:rPr>
          <w:rStyle w:val="Emphasis"/>
          <w:rFonts w:eastAsiaTheme="majorEastAsia"/>
        </w:rPr>
        <w:t>OECD Regional Development Working Papers</w:t>
      </w:r>
      <w:r>
        <w:t>, No. 2012/04.</w:t>
      </w:r>
    </w:p>
    <w:p w14:paraId="027D77A9"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r>
        <w:rPr>
          <w:rFonts w:eastAsia="Times New Roman" w:cs="Times New Roman"/>
        </w:rPr>
        <w:t xml:space="preserve">Feng, M. (2010). </w:t>
      </w:r>
      <w:r>
        <w:rPr>
          <w:rFonts w:eastAsia="Times New Roman" w:cs="Times New Roman"/>
          <w:i/>
          <w:iCs/>
        </w:rPr>
        <w:t>A comparative study of ports and their hinterlands: Factors determining port performance and choice</w:t>
      </w:r>
      <w:r>
        <w:rPr>
          <w:rFonts w:eastAsia="Times New Roman" w:cs="Times New Roman"/>
        </w:rPr>
        <w:t xml:space="preserve"> (Doctoral dissertation). University of Nottingham, United Kingdom. </w:t>
      </w:r>
    </w:p>
    <w:p w14:paraId="22642F84" w14:textId="77777777" w:rsidR="00B37C46" w:rsidRDefault="00B37C46" w:rsidP="00B37C46">
      <w:pPr>
        <w:pStyle w:val="NormalWeb"/>
        <w:tabs>
          <w:tab w:val="left" w:pos="900"/>
        </w:tabs>
        <w:ind w:left="900" w:hanging="900"/>
        <w:jc w:val="both"/>
      </w:pPr>
      <w:r>
        <w:t xml:space="preserve">Feng, M. (2010). </w:t>
      </w:r>
      <w:r>
        <w:rPr>
          <w:rStyle w:val="Emphasis"/>
          <w:rFonts w:eastAsiaTheme="majorEastAsia"/>
        </w:rPr>
        <w:t>A comparative study of ports and their hinterlands: Factors determining port performance and choice</w:t>
      </w:r>
      <w:r>
        <w:t>. Doctoral dissertation.</w:t>
      </w:r>
    </w:p>
    <w:p w14:paraId="787FA4DD" w14:textId="77777777" w:rsidR="00B37C46" w:rsidRDefault="00B37C46" w:rsidP="00B37C46">
      <w:pPr>
        <w:pStyle w:val="NormalWeb"/>
        <w:tabs>
          <w:tab w:val="left" w:pos="900"/>
        </w:tabs>
        <w:ind w:left="900" w:hanging="900"/>
        <w:jc w:val="both"/>
      </w:pPr>
      <w:r>
        <w:t xml:space="preserve">Feng, M. (2010). </w:t>
      </w:r>
      <w:r>
        <w:rPr>
          <w:rStyle w:val="Emphasis"/>
          <w:rFonts w:eastAsiaTheme="majorEastAsia"/>
        </w:rPr>
        <w:t>A comparative study of ports and their hinterlands: Factors determining port performance and choice</w:t>
      </w:r>
      <w:r>
        <w:t>. Doctoral dissertation.</w:t>
      </w:r>
    </w:p>
    <w:p w14:paraId="53E4B5E5" w14:textId="77777777" w:rsidR="00B37C46" w:rsidRDefault="00B37C46" w:rsidP="00B37C46">
      <w:pPr>
        <w:pStyle w:val="NormalWeb"/>
        <w:tabs>
          <w:tab w:val="left" w:pos="900"/>
        </w:tabs>
        <w:ind w:left="900" w:hanging="900"/>
        <w:jc w:val="both"/>
      </w:pPr>
      <w:r>
        <w:t xml:space="preserve">Kotut, C. K. (2014). </w:t>
      </w:r>
      <w:r>
        <w:rPr>
          <w:rStyle w:val="Emphasis"/>
          <w:rFonts w:eastAsiaTheme="majorEastAsia"/>
        </w:rPr>
        <w:t>The influence of hinterland transport inefficiencies on the performance of ports: A case study of Kenya Ports Authority</w:t>
      </w:r>
      <w:r>
        <w:t>. Unpublished research project.</w:t>
      </w:r>
    </w:p>
    <w:p w14:paraId="08230150"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r>
        <w:rPr>
          <w:rFonts w:eastAsia="Times New Roman" w:cs="Times New Roman"/>
        </w:rPr>
        <w:t xml:space="preserve">Leigland, J., &amp; Palsson, G. (2007). </w:t>
      </w:r>
      <w:r>
        <w:rPr>
          <w:rFonts w:eastAsia="Times New Roman" w:cs="Times New Roman"/>
          <w:i/>
          <w:iCs/>
        </w:rPr>
        <w:t>Port reform and concessioning in developing countries</w:t>
      </w:r>
      <w:r>
        <w:rPr>
          <w:rFonts w:eastAsia="Times New Roman" w:cs="Times New Roman"/>
        </w:rPr>
        <w:t xml:space="preserve">. World Bank. https://doi.org/10.1596/978-0-8213-6667-3 </w:t>
      </w:r>
    </w:p>
    <w:p w14:paraId="41F61BDA" w14:textId="77777777" w:rsidR="00B37C46" w:rsidRDefault="00B37C46" w:rsidP="00B37C46">
      <w:pPr>
        <w:pStyle w:val="NormalWeb"/>
        <w:tabs>
          <w:tab w:val="left" w:pos="900"/>
        </w:tabs>
        <w:ind w:left="900" w:hanging="900"/>
        <w:jc w:val="both"/>
      </w:pPr>
      <w:r>
        <w:t xml:space="preserve">Leigland, J., &amp; Palsson, G. (2007). Port reform and public-private partnerships in Africa. </w:t>
      </w:r>
      <w:r>
        <w:rPr>
          <w:rStyle w:val="Emphasis"/>
          <w:rFonts w:eastAsiaTheme="majorEastAsia"/>
        </w:rPr>
        <w:t>World Bank Working Paper</w:t>
      </w:r>
      <w:r>
        <w:t>.</w:t>
      </w:r>
    </w:p>
    <w:p w14:paraId="1997401B"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proofErr w:type="spellStart"/>
      <w:r>
        <w:rPr>
          <w:rFonts w:eastAsia="Times New Roman" w:cs="Times New Roman"/>
        </w:rPr>
        <w:t>Ndikom</w:t>
      </w:r>
      <w:proofErr w:type="spellEnd"/>
      <w:r>
        <w:rPr>
          <w:rFonts w:eastAsia="Times New Roman" w:cs="Times New Roman"/>
        </w:rPr>
        <w:t xml:space="preserve">, O. B. (2004). </w:t>
      </w:r>
      <w:r>
        <w:rPr>
          <w:rFonts w:eastAsia="Times New Roman" w:cs="Times New Roman"/>
          <w:i/>
          <w:iCs/>
        </w:rPr>
        <w:t>The kernel concept of shipping operations, policies and strategies: The industry overview</w:t>
      </w:r>
      <w:r>
        <w:rPr>
          <w:rFonts w:eastAsia="Times New Roman" w:cs="Times New Roman"/>
        </w:rPr>
        <w:t xml:space="preserve">. </w:t>
      </w:r>
      <w:proofErr w:type="spellStart"/>
      <w:r>
        <w:rPr>
          <w:rFonts w:eastAsia="Times New Roman" w:cs="Times New Roman"/>
        </w:rPr>
        <w:t>Bunmico</w:t>
      </w:r>
      <w:proofErr w:type="spellEnd"/>
      <w:r>
        <w:rPr>
          <w:rFonts w:eastAsia="Times New Roman" w:cs="Times New Roman"/>
        </w:rPr>
        <w:t xml:space="preserve"> Publishers. </w:t>
      </w:r>
    </w:p>
    <w:p w14:paraId="5A831157" w14:textId="77777777" w:rsidR="00B37C46" w:rsidRDefault="00B37C46" w:rsidP="00B37C46">
      <w:pPr>
        <w:pStyle w:val="NormalWeb"/>
        <w:tabs>
          <w:tab w:val="left" w:pos="900"/>
        </w:tabs>
        <w:ind w:left="900" w:hanging="900"/>
        <w:jc w:val="both"/>
      </w:pPr>
      <w:proofErr w:type="spellStart"/>
      <w:r>
        <w:t>Ndikom</w:t>
      </w:r>
      <w:proofErr w:type="spellEnd"/>
      <w:r>
        <w:t xml:space="preserve">, O. B. (2004). </w:t>
      </w:r>
      <w:r>
        <w:rPr>
          <w:rStyle w:val="Emphasis"/>
          <w:rFonts w:eastAsiaTheme="majorEastAsia"/>
        </w:rPr>
        <w:t>The kernel concept of shipping operations, policies and strategies: The industry overview</w:t>
      </w:r>
      <w:r>
        <w:t xml:space="preserve">. </w:t>
      </w:r>
      <w:proofErr w:type="spellStart"/>
      <w:r>
        <w:t>Bunmico</w:t>
      </w:r>
      <w:proofErr w:type="spellEnd"/>
      <w:r>
        <w:t xml:space="preserve"> Publishers.</w:t>
      </w:r>
    </w:p>
    <w:p w14:paraId="713D2605"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proofErr w:type="spellStart"/>
      <w:r>
        <w:rPr>
          <w:rFonts w:eastAsia="Times New Roman" w:cs="Times New Roman"/>
        </w:rPr>
        <w:t>Ndikom</w:t>
      </w:r>
      <w:proofErr w:type="spellEnd"/>
      <w:r>
        <w:rPr>
          <w:rFonts w:eastAsia="Times New Roman" w:cs="Times New Roman"/>
        </w:rPr>
        <w:t xml:space="preserve">, O. B. (2005). </w:t>
      </w:r>
      <w:r>
        <w:rPr>
          <w:rFonts w:eastAsia="Times New Roman" w:cs="Times New Roman"/>
          <w:i/>
          <w:iCs/>
        </w:rPr>
        <w:t>Elements of shipping practice and management</w:t>
      </w:r>
      <w:r>
        <w:rPr>
          <w:rFonts w:eastAsia="Times New Roman" w:cs="Times New Roman"/>
        </w:rPr>
        <w:t xml:space="preserve">. </w:t>
      </w:r>
      <w:proofErr w:type="spellStart"/>
      <w:r>
        <w:rPr>
          <w:rFonts w:eastAsia="Times New Roman" w:cs="Times New Roman"/>
        </w:rPr>
        <w:t>Bunmico</w:t>
      </w:r>
      <w:proofErr w:type="spellEnd"/>
      <w:r>
        <w:rPr>
          <w:rFonts w:eastAsia="Times New Roman" w:cs="Times New Roman"/>
        </w:rPr>
        <w:t xml:space="preserve"> Publishers. </w:t>
      </w:r>
    </w:p>
    <w:p w14:paraId="51E891D7" w14:textId="77777777" w:rsidR="00B37C46" w:rsidRDefault="00B37C46" w:rsidP="00B37C46">
      <w:pPr>
        <w:pStyle w:val="NormalWeb"/>
        <w:tabs>
          <w:tab w:val="left" w:pos="900"/>
        </w:tabs>
        <w:ind w:left="900" w:hanging="900"/>
        <w:jc w:val="both"/>
      </w:pPr>
      <w:proofErr w:type="spellStart"/>
      <w:r>
        <w:t>Ndikom</w:t>
      </w:r>
      <w:proofErr w:type="spellEnd"/>
      <w:r>
        <w:t xml:space="preserve">, O. B. (2005). </w:t>
      </w:r>
      <w:r>
        <w:rPr>
          <w:rStyle w:val="Emphasis"/>
          <w:rFonts w:eastAsiaTheme="majorEastAsia"/>
        </w:rPr>
        <w:t>Shipping management: The operational guide</w:t>
      </w:r>
      <w:r>
        <w:t xml:space="preserve">. </w:t>
      </w:r>
      <w:proofErr w:type="spellStart"/>
      <w:r>
        <w:t>Bunmico</w:t>
      </w:r>
      <w:proofErr w:type="spellEnd"/>
      <w:r>
        <w:t xml:space="preserve"> Publishers.</w:t>
      </w:r>
    </w:p>
    <w:p w14:paraId="622FC10A" w14:textId="77777777" w:rsidR="00B37C46" w:rsidRDefault="00B37C46" w:rsidP="00B37C46">
      <w:pPr>
        <w:pStyle w:val="NormalWeb"/>
        <w:tabs>
          <w:tab w:val="left" w:pos="900"/>
        </w:tabs>
        <w:ind w:left="900" w:hanging="900"/>
        <w:jc w:val="both"/>
      </w:pPr>
      <w:proofErr w:type="spellStart"/>
      <w:r>
        <w:t>Ndikom</w:t>
      </w:r>
      <w:proofErr w:type="spellEnd"/>
      <w:r>
        <w:t xml:space="preserve">, O. B. (2007). </w:t>
      </w:r>
      <w:r>
        <w:rPr>
          <w:rStyle w:val="Emphasis"/>
          <w:rFonts w:eastAsiaTheme="majorEastAsia"/>
        </w:rPr>
        <w:t>Elements of shipping practice</w:t>
      </w:r>
      <w:r>
        <w:t xml:space="preserve">. </w:t>
      </w:r>
      <w:proofErr w:type="spellStart"/>
      <w:r>
        <w:t>Bunmico</w:t>
      </w:r>
      <w:proofErr w:type="spellEnd"/>
      <w:r>
        <w:t xml:space="preserve"> Publishers.</w:t>
      </w:r>
    </w:p>
    <w:p w14:paraId="5D0D97F7" w14:textId="77777777" w:rsidR="00B37C46" w:rsidRDefault="00B37C46" w:rsidP="00B37C46">
      <w:pPr>
        <w:tabs>
          <w:tab w:val="left" w:pos="900"/>
        </w:tabs>
        <w:spacing w:before="100" w:beforeAutospacing="1" w:after="100" w:afterAutospacing="1" w:line="240" w:lineRule="auto"/>
        <w:ind w:left="900" w:hanging="900"/>
        <w:rPr>
          <w:rFonts w:eastAsia="Times New Roman" w:cs="Times New Roman"/>
        </w:rPr>
      </w:pPr>
      <w:proofErr w:type="spellStart"/>
      <w:r>
        <w:rPr>
          <w:rFonts w:eastAsia="Times New Roman" w:cs="Times New Roman"/>
        </w:rPr>
        <w:t>Ndikom</w:t>
      </w:r>
      <w:proofErr w:type="spellEnd"/>
      <w:r>
        <w:rPr>
          <w:rFonts w:eastAsia="Times New Roman" w:cs="Times New Roman"/>
        </w:rPr>
        <w:t xml:space="preserve">, O. B. (2007). </w:t>
      </w:r>
      <w:r>
        <w:rPr>
          <w:rFonts w:eastAsia="Times New Roman" w:cs="Times New Roman"/>
          <w:i/>
          <w:iCs/>
        </w:rPr>
        <w:t>Shipping management: The Nigerian perspective</w:t>
      </w:r>
      <w:r>
        <w:rPr>
          <w:rFonts w:eastAsia="Times New Roman" w:cs="Times New Roman"/>
        </w:rPr>
        <w:t xml:space="preserve">. </w:t>
      </w:r>
      <w:proofErr w:type="spellStart"/>
      <w:r>
        <w:rPr>
          <w:rFonts w:eastAsia="Times New Roman" w:cs="Times New Roman"/>
        </w:rPr>
        <w:t>Bunmico</w:t>
      </w:r>
      <w:proofErr w:type="spellEnd"/>
      <w:r>
        <w:rPr>
          <w:rFonts w:eastAsia="Times New Roman" w:cs="Times New Roman"/>
        </w:rPr>
        <w:t xml:space="preserve"> Publishers. </w:t>
      </w:r>
    </w:p>
    <w:p w14:paraId="6D8BB7D1" w14:textId="77777777" w:rsidR="00B37C46" w:rsidRDefault="00B37C46" w:rsidP="00B37C46">
      <w:pPr>
        <w:pStyle w:val="NormalWeb"/>
        <w:tabs>
          <w:tab w:val="left" w:pos="900"/>
        </w:tabs>
        <w:ind w:left="900" w:hanging="900"/>
        <w:jc w:val="both"/>
      </w:pPr>
      <w:proofErr w:type="spellStart"/>
      <w:r>
        <w:lastRenderedPageBreak/>
        <w:t>Tongzon</w:t>
      </w:r>
      <w:proofErr w:type="spellEnd"/>
      <w:r>
        <w:t xml:space="preserve">, J. (1995). Determinants of port performance and efficiency. </w:t>
      </w:r>
      <w:r>
        <w:rPr>
          <w:rStyle w:val="Emphasis"/>
          <w:rFonts w:eastAsiaTheme="majorEastAsia"/>
        </w:rPr>
        <w:t>Transportation Research Part A: Policy and Practice</w:t>
      </w:r>
      <w:r>
        <w:t>, 29(3), 245–252.</w:t>
      </w:r>
    </w:p>
    <w:p w14:paraId="2417CC02" w14:textId="77777777" w:rsidR="00B37C46" w:rsidRDefault="00B37C46" w:rsidP="00B37C46">
      <w:pPr>
        <w:pStyle w:val="NormalWeb"/>
        <w:tabs>
          <w:tab w:val="left" w:pos="900"/>
        </w:tabs>
        <w:ind w:left="900" w:hanging="900"/>
        <w:jc w:val="both"/>
      </w:pPr>
      <w:proofErr w:type="spellStart"/>
      <w:r>
        <w:t>Tongzon</w:t>
      </w:r>
      <w:proofErr w:type="spellEnd"/>
      <w:r>
        <w:t xml:space="preserve">, J. (1995). Determinants of port performance and efficiency. </w:t>
      </w:r>
      <w:r>
        <w:rPr>
          <w:rStyle w:val="Emphasis"/>
          <w:rFonts w:eastAsiaTheme="majorEastAsia"/>
        </w:rPr>
        <w:t>Transportation Research Part A: Policy and Practice</w:t>
      </w:r>
      <w:r>
        <w:t>, 29(3), 245–252.</w:t>
      </w:r>
    </w:p>
    <w:p w14:paraId="3FFA1E9A" w14:textId="77777777" w:rsidR="00B37C46" w:rsidRDefault="00B37C46" w:rsidP="00B37C46">
      <w:pPr>
        <w:pStyle w:val="NormalWeb"/>
        <w:tabs>
          <w:tab w:val="left" w:pos="900"/>
        </w:tabs>
        <w:ind w:left="900" w:hanging="900"/>
        <w:jc w:val="both"/>
      </w:pPr>
      <w:proofErr w:type="spellStart"/>
      <w:r>
        <w:t>Tongzon</w:t>
      </w:r>
      <w:proofErr w:type="spellEnd"/>
      <w:r>
        <w:t xml:space="preserve">, J. (2007). Determinants of competitiveness in logistics: Implications for ports. </w:t>
      </w:r>
      <w:r>
        <w:rPr>
          <w:rStyle w:val="Emphasis"/>
          <w:rFonts w:eastAsiaTheme="majorEastAsia"/>
        </w:rPr>
        <w:t>Maritime Economics &amp; Logistics</w:t>
      </w:r>
      <w:r>
        <w:t>, 9(1), 1–21.</w:t>
      </w:r>
    </w:p>
    <w:p w14:paraId="7974C46C" w14:textId="77777777" w:rsidR="00B37C46" w:rsidRDefault="00B37C46" w:rsidP="00B37C46">
      <w:pPr>
        <w:pStyle w:val="NormalWeb"/>
        <w:tabs>
          <w:tab w:val="left" w:pos="900"/>
        </w:tabs>
        <w:ind w:left="900" w:hanging="900"/>
        <w:jc w:val="both"/>
      </w:pPr>
      <w:r>
        <w:t xml:space="preserve">Yeo, G. T., Roe, M., &amp; Dinwoodie, J. (2008). Evaluating the competitiveness of container ports in Korea and China. </w:t>
      </w:r>
      <w:r>
        <w:rPr>
          <w:rStyle w:val="Emphasis"/>
          <w:rFonts w:eastAsiaTheme="majorEastAsia"/>
        </w:rPr>
        <w:t>Transportation Research Part A: Policy and Practice</w:t>
      </w:r>
      <w:r>
        <w:t>, 42(6), 910–921.</w:t>
      </w:r>
    </w:p>
    <w:p w14:paraId="0FA05235" w14:textId="77777777" w:rsidR="00B37C46" w:rsidRDefault="00B37C46" w:rsidP="00B37C46">
      <w:pPr>
        <w:pStyle w:val="NormalWeb"/>
        <w:tabs>
          <w:tab w:val="left" w:pos="900"/>
        </w:tabs>
        <w:ind w:left="900" w:hanging="900"/>
        <w:jc w:val="both"/>
      </w:pPr>
      <w:r>
        <w:t xml:space="preserve">Yeo, G. T., Roe, M., &amp; Dinwoodie, J. (2010). Measuring the competitiveness of container ports: Logistics and regulatory factors. </w:t>
      </w:r>
      <w:r>
        <w:rPr>
          <w:rStyle w:val="Emphasis"/>
          <w:rFonts w:eastAsiaTheme="majorEastAsia"/>
        </w:rPr>
        <w:t>Maritime Policy &amp; Management</w:t>
      </w:r>
      <w:r>
        <w:t>, 37(6), 1–18.</w:t>
      </w:r>
    </w:p>
    <w:p w14:paraId="43A17D46" w14:textId="26133461" w:rsidR="00B37C46" w:rsidRPr="00410024" w:rsidRDefault="00B37C46" w:rsidP="00B37C46">
      <w:pPr>
        <w:spacing w:before="240" w:line="240" w:lineRule="auto"/>
        <w:ind w:left="540" w:hanging="540"/>
        <w:rPr>
          <w:szCs w:val="24"/>
        </w:rPr>
      </w:pPr>
    </w:p>
    <w:p w14:paraId="254FC85D" w14:textId="77777777" w:rsidR="00B37C46" w:rsidRPr="005606CC" w:rsidRDefault="00B37C46" w:rsidP="00B37C46">
      <w:pPr>
        <w:spacing w:line="240" w:lineRule="auto"/>
        <w:ind w:left="720" w:hanging="720"/>
        <w:rPr>
          <w:rFonts w:cs="Times New Roman"/>
          <w:szCs w:val="24"/>
        </w:rPr>
      </w:pPr>
    </w:p>
    <w:p w14:paraId="00C65AC6" w14:textId="77777777" w:rsidR="00B37C46" w:rsidRDefault="00B37C46" w:rsidP="00B37C46"/>
    <w:p w14:paraId="5495203E" w14:textId="77777777" w:rsidR="00B37C46" w:rsidRDefault="00B37C46" w:rsidP="00B37C46"/>
    <w:p w14:paraId="3596BCB1" w14:textId="77777777" w:rsidR="00AD7209" w:rsidRDefault="00AD7209"/>
    <w:sectPr w:rsidR="00AD7209" w:rsidSect="00B37C46">
      <w:headerReference w:type="default" r:id="rId4"/>
      <w:footerReference w:type="default" r:id="rId5"/>
      <w:pgSz w:w="12240" w:h="15840"/>
      <w:pgMar w:top="1440" w:right="1440" w:bottom="1440" w:left="1440" w:header="708" w:footer="708" w:gutter="0"/>
      <w:pgNumType w:star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661"/>
      <w:docPartObj>
        <w:docPartGallery w:val="Page Numbers (Bottom of Page)"/>
        <w:docPartUnique/>
      </w:docPartObj>
    </w:sdtPr>
    <w:sdtEndPr>
      <w:rPr>
        <w:noProof/>
      </w:rPr>
    </w:sdtEndPr>
    <w:sdtContent>
      <w:p w14:paraId="72E30A6E" w14:textId="77777777" w:rsidR="00B37C46" w:rsidRDefault="00B37C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1413FA" w14:textId="77777777" w:rsidR="00B37C46" w:rsidRDefault="00B37C4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20C9" w14:textId="77777777" w:rsidR="00B37C46" w:rsidRDefault="00B37C46" w:rsidP="00F94F11">
    <w:pPr>
      <w:spacing w:after="0"/>
      <w:rPr>
        <w:b/>
        <w:szCs w:val="24"/>
      </w:rPr>
    </w:pPr>
    <w:r w:rsidRPr="005E10A7">
      <w:rPr>
        <w:sz w:val="16"/>
        <w:szCs w:val="16"/>
      </w:rPr>
      <w:t>ACU Journal of Social and Management Sciences</w:t>
    </w:r>
    <w:r>
      <w:rPr>
        <w:sz w:val="16"/>
        <w:szCs w:val="16"/>
      </w:rPr>
      <w:tab/>
    </w:r>
    <w:r>
      <w:rPr>
        <w:sz w:val="16"/>
        <w:szCs w:val="16"/>
      </w:rPr>
      <w:tab/>
    </w:r>
    <w:r>
      <w:rPr>
        <w:sz w:val="16"/>
        <w:szCs w:val="16"/>
      </w:rPr>
      <w:tab/>
    </w:r>
    <w:r>
      <w:rPr>
        <w:sz w:val="16"/>
        <w:szCs w:val="16"/>
      </w:rPr>
      <w:tab/>
      <w:t>AJSAMS</w:t>
    </w:r>
    <w:r>
      <w:rPr>
        <w:sz w:val="16"/>
        <w:szCs w:val="16"/>
      </w:rPr>
      <w:tab/>
    </w:r>
    <w:r>
      <w:rPr>
        <w:sz w:val="16"/>
        <w:szCs w:val="16"/>
      </w:rPr>
      <w:tab/>
    </w:r>
    <w:r>
      <w:rPr>
        <w:sz w:val="16"/>
        <w:szCs w:val="16"/>
      </w:rPr>
      <w:tab/>
      <w:t>Vol 6/No1 April 2026</w:t>
    </w:r>
  </w:p>
  <w:p w14:paraId="1FBB9171" w14:textId="77777777" w:rsidR="00B37C46" w:rsidRDefault="00B37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46"/>
    <w:rsid w:val="003129EE"/>
    <w:rsid w:val="004216BB"/>
    <w:rsid w:val="00673CC5"/>
    <w:rsid w:val="00826AC8"/>
    <w:rsid w:val="00AD7209"/>
    <w:rsid w:val="00B37C46"/>
    <w:rsid w:val="00F4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037A"/>
  <w15:chartTrackingRefBased/>
  <w15:docId w15:val="{588D6E99-D196-4011-98D6-59E9B730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46"/>
    <w:pPr>
      <w:spacing w:line="256" w:lineRule="auto"/>
      <w:jc w:val="both"/>
    </w:pPr>
    <w:rPr>
      <w:rFonts w:ascii="Times New Roman" w:hAnsi="Times New Roman"/>
      <w:kern w:val="0"/>
      <w:sz w:val="24"/>
      <w:lang w:val="en-GB"/>
      <w14:ligatures w14:val="none"/>
    </w:rPr>
  </w:style>
  <w:style w:type="paragraph" w:styleId="Heading1">
    <w:name w:val="heading 1"/>
    <w:basedOn w:val="Normal"/>
    <w:link w:val="Heading1Char"/>
    <w:autoRedefine/>
    <w:uiPriority w:val="9"/>
    <w:qFormat/>
    <w:rsid w:val="00F441FF"/>
    <w:pPr>
      <w:widowControl w:val="0"/>
      <w:autoSpaceDE w:val="0"/>
      <w:autoSpaceDN w:val="0"/>
      <w:spacing w:after="0" w:line="240" w:lineRule="auto"/>
      <w:ind w:left="23"/>
      <w:jc w:val="center"/>
      <w:outlineLvl w:val="0"/>
    </w:pPr>
    <w:rPr>
      <w:rFonts w:eastAsia="Times New Roman" w:cs="Times New Roman"/>
      <w:b/>
      <w:bCs/>
      <w:sz w:val="32"/>
      <w:szCs w:val="24"/>
    </w:rPr>
  </w:style>
  <w:style w:type="paragraph" w:styleId="Heading2">
    <w:name w:val="heading 2"/>
    <w:basedOn w:val="Normal"/>
    <w:next w:val="Normal"/>
    <w:link w:val="Heading2Char"/>
    <w:autoRedefine/>
    <w:uiPriority w:val="9"/>
    <w:semiHidden/>
    <w:unhideWhenUsed/>
    <w:qFormat/>
    <w:rsid w:val="00F441FF"/>
    <w:pPr>
      <w:keepNext/>
      <w:keepLines/>
      <w:widowControl w:val="0"/>
      <w:autoSpaceDE w:val="0"/>
      <w:autoSpaceDN w:val="0"/>
      <w:spacing w:before="40" w:after="0" w:line="240" w:lineRule="auto"/>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semiHidden/>
    <w:unhideWhenUsed/>
    <w:qFormat/>
    <w:rsid w:val="00B37C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C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C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FF"/>
    <w:rPr>
      <w:rFonts w:ascii="Times New Roman" w:eastAsia="Times New Roman" w:hAnsi="Times New Roman" w:cs="Times New Roman"/>
      <w:b/>
      <w:bCs/>
      <w:sz w:val="32"/>
      <w:szCs w:val="24"/>
    </w:rPr>
  </w:style>
  <w:style w:type="character" w:customStyle="1" w:styleId="Heading2Char">
    <w:name w:val="Heading 2 Char"/>
    <w:basedOn w:val="DefaultParagraphFont"/>
    <w:link w:val="Heading2"/>
    <w:uiPriority w:val="9"/>
    <w:semiHidden/>
    <w:rsid w:val="00F441FF"/>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semiHidden/>
    <w:rsid w:val="00B37C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C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C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C46"/>
    <w:rPr>
      <w:rFonts w:eastAsiaTheme="majorEastAsia" w:cstheme="majorBidi"/>
      <w:color w:val="272727" w:themeColor="text1" w:themeTint="D8"/>
    </w:rPr>
  </w:style>
  <w:style w:type="paragraph" w:styleId="Title">
    <w:name w:val="Title"/>
    <w:basedOn w:val="Normal"/>
    <w:next w:val="Normal"/>
    <w:link w:val="TitleChar"/>
    <w:uiPriority w:val="10"/>
    <w:qFormat/>
    <w:rsid w:val="00B3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C46"/>
    <w:pPr>
      <w:spacing w:before="160"/>
      <w:jc w:val="center"/>
    </w:pPr>
    <w:rPr>
      <w:i/>
      <w:iCs/>
      <w:color w:val="404040" w:themeColor="text1" w:themeTint="BF"/>
    </w:rPr>
  </w:style>
  <w:style w:type="character" w:customStyle="1" w:styleId="QuoteChar">
    <w:name w:val="Quote Char"/>
    <w:basedOn w:val="DefaultParagraphFont"/>
    <w:link w:val="Quote"/>
    <w:uiPriority w:val="29"/>
    <w:rsid w:val="00B37C46"/>
    <w:rPr>
      <w:i/>
      <w:iCs/>
      <w:color w:val="404040" w:themeColor="text1" w:themeTint="BF"/>
    </w:rPr>
  </w:style>
  <w:style w:type="paragraph" w:styleId="ListParagraph">
    <w:name w:val="List Paragraph"/>
    <w:basedOn w:val="Normal"/>
    <w:uiPriority w:val="34"/>
    <w:qFormat/>
    <w:rsid w:val="00B37C46"/>
    <w:pPr>
      <w:ind w:left="720"/>
      <w:contextualSpacing/>
    </w:pPr>
  </w:style>
  <w:style w:type="character" w:styleId="IntenseEmphasis">
    <w:name w:val="Intense Emphasis"/>
    <w:basedOn w:val="DefaultParagraphFont"/>
    <w:uiPriority w:val="21"/>
    <w:qFormat/>
    <w:rsid w:val="00B37C46"/>
    <w:rPr>
      <w:i/>
      <w:iCs/>
      <w:color w:val="2F5496" w:themeColor="accent1" w:themeShade="BF"/>
    </w:rPr>
  </w:style>
  <w:style w:type="paragraph" w:styleId="IntenseQuote">
    <w:name w:val="Intense Quote"/>
    <w:basedOn w:val="Normal"/>
    <w:next w:val="Normal"/>
    <w:link w:val="IntenseQuoteChar"/>
    <w:uiPriority w:val="30"/>
    <w:qFormat/>
    <w:rsid w:val="00B37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C46"/>
    <w:rPr>
      <w:i/>
      <w:iCs/>
      <w:color w:val="2F5496" w:themeColor="accent1" w:themeShade="BF"/>
    </w:rPr>
  </w:style>
  <w:style w:type="character" w:styleId="IntenseReference">
    <w:name w:val="Intense Reference"/>
    <w:basedOn w:val="DefaultParagraphFont"/>
    <w:uiPriority w:val="32"/>
    <w:qFormat/>
    <w:rsid w:val="00B37C46"/>
    <w:rPr>
      <w:b/>
      <w:bCs/>
      <w:smallCaps/>
      <w:color w:val="2F5496" w:themeColor="accent1" w:themeShade="BF"/>
      <w:spacing w:val="5"/>
    </w:rPr>
  </w:style>
  <w:style w:type="paragraph" w:styleId="Header">
    <w:name w:val="header"/>
    <w:basedOn w:val="Normal"/>
    <w:link w:val="HeaderChar"/>
    <w:uiPriority w:val="99"/>
    <w:unhideWhenUsed/>
    <w:rsid w:val="00B37C46"/>
    <w:pPr>
      <w:tabs>
        <w:tab w:val="center" w:pos="4680"/>
        <w:tab w:val="right" w:pos="9360"/>
      </w:tabs>
      <w:spacing w:after="0" w:line="240" w:lineRule="auto"/>
      <w:jc w:val="left"/>
    </w:pPr>
    <w:rPr>
      <w:rFonts w:asciiTheme="minorHAnsi" w:hAnsiTheme="minorHAnsi"/>
      <w:sz w:val="22"/>
      <w:lang w:val="en-US"/>
    </w:rPr>
  </w:style>
  <w:style w:type="character" w:customStyle="1" w:styleId="HeaderChar">
    <w:name w:val="Header Char"/>
    <w:basedOn w:val="DefaultParagraphFont"/>
    <w:link w:val="Header"/>
    <w:uiPriority w:val="99"/>
    <w:rsid w:val="00B37C46"/>
    <w:rPr>
      <w:kern w:val="0"/>
      <w14:ligatures w14:val="none"/>
    </w:rPr>
  </w:style>
  <w:style w:type="paragraph" w:styleId="Footer">
    <w:name w:val="footer"/>
    <w:basedOn w:val="Normal"/>
    <w:link w:val="FooterChar"/>
    <w:uiPriority w:val="99"/>
    <w:unhideWhenUsed/>
    <w:rsid w:val="00B37C46"/>
    <w:pPr>
      <w:tabs>
        <w:tab w:val="center" w:pos="4680"/>
        <w:tab w:val="right" w:pos="9360"/>
      </w:tabs>
      <w:spacing w:after="0" w:line="240" w:lineRule="auto"/>
      <w:jc w:val="left"/>
    </w:pPr>
    <w:rPr>
      <w:rFonts w:asciiTheme="minorHAnsi" w:hAnsiTheme="minorHAnsi"/>
      <w:sz w:val="22"/>
      <w:lang w:val="en-US"/>
    </w:rPr>
  </w:style>
  <w:style w:type="character" w:customStyle="1" w:styleId="FooterChar">
    <w:name w:val="Footer Char"/>
    <w:basedOn w:val="DefaultParagraphFont"/>
    <w:link w:val="Footer"/>
    <w:uiPriority w:val="99"/>
    <w:rsid w:val="00B37C46"/>
    <w:rPr>
      <w:kern w:val="0"/>
      <w14:ligatures w14:val="none"/>
    </w:rPr>
  </w:style>
  <w:style w:type="character" w:styleId="Hyperlink">
    <w:name w:val="Hyperlink"/>
    <w:basedOn w:val="DefaultParagraphFont"/>
    <w:uiPriority w:val="99"/>
    <w:unhideWhenUsed/>
    <w:rsid w:val="00B37C46"/>
    <w:rPr>
      <w:color w:val="0563C1" w:themeColor="hyperlink"/>
      <w:u w:val="single"/>
    </w:rPr>
  </w:style>
  <w:style w:type="character" w:customStyle="1" w:styleId="a-list-item">
    <w:name w:val="a-list-item"/>
    <w:basedOn w:val="DefaultParagraphFont"/>
    <w:qFormat/>
    <w:rsid w:val="00B37C46"/>
  </w:style>
  <w:style w:type="paragraph" w:styleId="NormalWeb">
    <w:name w:val="Normal (Web)"/>
    <w:basedOn w:val="Normal"/>
    <w:uiPriority w:val="99"/>
    <w:unhideWhenUsed/>
    <w:rsid w:val="00B37C46"/>
    <w:pPr>
      <w:spacing w:before="100" w:beforeAutospacing="1" w:after="100" w:afterAutospacing="1" w:line="240" w:lineRule="auto"/>
      <w:jc w:val="left"/>
    </w:pPr>
    <w:rPr>
      <w:rFonts w:eastAsia="Times New Roman" w:cs="Times New Roman"/>
      <w:szCs w:val="24"/>
      <w:lang w:eastAsia="zh-CN"/>
    </w:rPr>
  </w:style>
  <w:style w:type="character" w:styleId="Strong">
    <w:name w:val="Strong"/>
    <w:basedOn w:val="DefaultParagraphFont"/>
    <w:uiPriority w:val="22"/>
    <w:qFormat/>
    <w:rsid w:val="00B37C46"/>
    <w:rPr>
      <w:b/>
      <w:bCs/>
    </w:rPr>
  </w:style>
  <w:style w:type="character" w:styleId="Emphasis">
    <w:name w:val="Emphasis"/>
    <w:basedOn w:val="DefaultParagraphFont"/>
    <w:uiPriority w:val="20"/>
    <w:qFormat/>
    <w:rsid w:val="00B37C46"/>
    <w:rPr>
      <w:i/>
      <w:iCs/>
    </w:rPr>
  </w:style>
  <w:style w:type="table" w:styleId="TableGrid">
    <w:name w:val="Table Grid"/>
    <w:basedOn w:val="TableNormal"/>
    <w:uiPriority w:val="59"/>
    <w:rsid w:val="00B37C46"/>
    <w:pPr>
      <w:spacing w:after="0" w:line="240" w:lineRule="auto"/>
    </w:pPr>
    <w:rPr>
      <w:rFonts w:ascii="Calibri" w:eastAsia="Calibri" w:hAnsi="Calibri" w:cs="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4194</Words>
  <Characters>23907</Characters>
  <Application>Microsoft Office Word</Application>
  <DocSecurity>0</DocSecurity>
  <Lines>199</Lines>
  <Paragraphs>56</Paragraphs>
  <ScaleCrop>false</ScaleCrop>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2026-04-29T13:38:00Z</dcterms:created>
  <dcterms:modified xsi:type="dcterms:W3CDTF">2026-04-29T13:50:00Z</dcterms:modified>
</cp:coreProperties>
</file>