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7369" w14:textId="36D5CEFA" w:rsidR="000A1D3E" w:rsidRPr="00F32D0D" w:rsidRDefault="00331399" w:rsidP="000A1D3E">
      <w:pPr>
        <w:spacing w:line="240" w:lineRule="auto"/>
        <w:rPr>
          <w:rFonts w:cs="Times New Roman"/>
          <w:b/>
          <w:bCs/>
          <w:szCs w:val="24"/>
        </w:rPr>
      </w:pPr>
      <w:r w:rsidRPr="003D3862">
        <w:rPr>
          <w:rFonts w:cs="Times New Roman"/>
          <w:b/>
          <w:bCs/>
          <w:szCs w:val="24"/>
        </w:rPr>
        <w:t xml:space="preserve">THE INFLUENCE OF FAIR BUSINESS PRACTICES ON SUPPLY CHAIN SUSTAINABILITY: A STUDY OF SELECTED PETROLEUM RETAIL OUTLETS IN IBADAN, </w:t>
      </w:r>
      <w:r>
        <w:rPr>
          <w:rFonts w:cs="Times New Roman"/>
          <w:b/>
          <w:bCs/>
          <w:szCs w:val="24"/>
        </w:rPr>
        <w:t>NIGERIA</w:t>
      </w:r>
      <w:r w:rsidR="000A1D3E" w:rsidRPr="001B27EC">
        <w:t xml:space="preserve">                                      </w:t>
      </w:r>
    </w:p>
    <w:p w14:paraId="2CD02B3C" w14:textId="62A0B5A8" w:rsidR="000A1D3E" w:rsidRPr="002016C2" w:rsidRDefault="000A1D3E" w:rsidP="000A1D3E">
      <w:pPr>
        <w:pBdr>
          <w:top w:val="single" w:sz="4" w:space="1" w:color="auto"/>
          <w:bottom w:val="single" w:sz="4" w:space="1" w:color="auto"/>
        </w:pBdr>
        <w:spacing w:line="360" w:lineRule="auto"/>
        <w:ind w:firstLine="720"/>
        <w:rPr>
          <w:b/>
          <w:szCs w:val="24"/>
        </w:rPr>
      </w:pPr>
      <w:r w:rsidRPr="002016C2">
        <w:rPr>
          <w:szCs w:val="24"/>
        </w:rPr>
        <w:t xml:space="preserve">                                       </w:t>
      </w:r>
      <w:r w:rsidRPr="002016C2">
        <w:rPr>
          <w:szCs w:val="24"/>
        </w:rPr>
        <w:tab/>
      </w:r>
      <w:r w:rsidRPr="002016C2">
        <w:rPr>
          <w:szCs w:val="24"/>
        </w:rPr>
        <w:tab/>
      </w:r>
      <w:r>
        <w:rPr>
          <w:szCs w:val="24"/>
        </w:rPr>
        <w:tab/>
        <w:t xml:space="preserve"> </w:t>
      </w:r>
      <w:r w:rsidR="00331399">
        <w:rPr>
          <w:szCs w:val="24"/>
        </w:rPr>
        <w:t>AKINADE</w:t>
      </w:r>
      <w:r>
        <w:rPr>
          <w:szCs w:val="24"/>
        </w:rPr>
        <w:t xml:space="preserve">, </w:t>
      </w:r>
      <w:r w:rsidR="00331399">
        <w:rPr>
          <w:szCs w:val="24"/>
        </w:rPr>
        <w:t>M</w:t>
      </w:r>
      <w:r>
        <w:rPr>
          <w:szCs w:val="24"/>
        </w:rPr>
        <w:t xml:space="preserve">. </w:t>
      </w:r>
      <w:r w:rsidR="00331399">
        <w:rPr>
          <w:szCs w:val="24"/>
        </w:rPr>
        <w:t>E</w:t>
      </w:r>
      <w:r>
        <w:rPr>
          <w:szCs w:val="24"/>
        </w:rPr>
        <w:t>. and O</w:t>
      </w:r>
      <w:r w:rsidR="00331399">
        <w:rPr>
          <w:szCs w:val="24"/>
        </w:rPr>
        <w:t>IKU</w:t>
      </w:r>
      <w:r>
        <w:rPr>
          <w:szCs w:val="24"/>
        </w:rPr>
        <w:t xml:space="preserve">, </w:t>
      </w:r>
      <w:r w:rsidR="00331399">
        <w:rPr>
          <w:szCs w:val="24"/>
        </w:rPr>
        <w:t>P</w:t>
      </w:r>
      <w:r>
        <w:rPr>
          <w:szCs w:val="24"/>
        </w:rPr>
        <w:t xml:space="preserve">. </w:t>
      </w:r>
      <w:r w:rsidR="00331399">
        <w:rPr>
          <w:szCs w:val="24"/>
        </w:rPr>
        <w:t>O</w:t>
      </w:r>
      <w:r>
        <w:rPr>
          <w:szCs w:val="24"/>
        </w:rPr>
        <w:t>.</w:t>
      </w:r>
    </w:p>
    <w:p w14:paraId="7303AB66" w14:textId="77777777" w:rsidR="00331399" w:rsidRPr="00331399" w:rsidRDefault="000A1D3E" w:rsidP="00331399">
      <w:pPr>
        <w:spacing w:line="240" w:lineRule="auto"/>
        <w:rPr>
          <w:rFonts w:cs="Times New Roman"/>
          <w:i/>
          <w:iCs/>
          <w:sz w:val="20"/>
          <w:szCs w:val="20"/>
        </w:rPr>
      </w:pPr>
      <w:r w:rsidRPr="002016C2">
        <w:rPr>
          <w:b/>
          <w:szCs w:val="24"/>
        </w:rPr>
        <w:t xml:space="preserve">Abstract: </w:t>
      </w:r>
      <w:r w:rsidR="00331399" w:rsidRPr="00331399">
        <w:rPr>
          <w:rFonts w:cs="Times New Roman"/>
          <w:i/>
          <w:iCs/>
          <w:sz w:val="20"/>
          <w:szCs w:val="20"/>
        </w:rPr>
        <w:t>The integration of ethical business practices into supply chain operations is increasingly viewed as essential, particularly in industries with significant environmental and social impact. This study investigates the relationship between fair business practices and supply chain sustainability within selected petroleum retail outlets in Ibadan, Nigeria. Employing a descriptive survey design, the study targeted staff from selected petroleum retail outlets, with a total of 88 respondents selected using convenience sampling. Data were collected through a structured questionnaire focused on fairness indicators and sustainability measures, and analysed using descriptive statistics and Pearson correlation. Instrument validity was ensured through expert review and pilot testing, while internal consistency was confirmed via Cronbach’s alpha. The results reveal a statistically significant and positive correlation between fair business practices and supply chain sustainability (R = 0.592**, p &lt; 0.01), suggesting that transparency, accountability, and equity contribute meaningfully to the resilience and efficiency of supply chain systems. The findings affirm the value of ethical conduct in operational success and align with existing literature advocating for ethics as a strategic resource. Based on these insights, the study recommends embedding fair practices into corporate strategies and calls for regulatory support to promote ethical standards, thereby enhancing long-term sustainability within the petroleum distribution sector.</w:t>
      </w:r>
    </w:p>
    <w:p w14:paraId="1F74F356" w14:textId="6ED35646" w:rsidR="000A1D3E" w:rsidRPr="00331399" w:rsidRDefault="00331399" w:rsidP="00331399">
      <w:pPr>
        <w:spacing w:after="0" w:line="240" w:lineRule="auto"/>
        <w:rPr>
          <w:rFonts w:cs="Times New Roman"/>
          <w:i/>
          <w:iCs/>
          <w:sz w:val="20"/>
          <w:szCs w:val="20"/>
        </w:rPr>
      </w:pPr>
      <w:r w:rsidRPr="00331399">
        <w:rPr>
          <w:rFonts w:cs="Times New Roman"/>
          <w:b/>
          <w:bCs/>
          <w:i/>
          <w:iCs/>
          <w:sz w:val="20"/>
          <w:szCs w:val="20"/>
        </w:rPr>
        <w:t>Keywords:</w:t>
      </w:r>
      <w:r w:rsidRPr="00331399">
        <w:rPr>
          <w:rFonts w:cs="Times New Roman"/>
          <w:i/>
          <w:iCs/>
          <w:sz w:val="20"/>
          <w:szCs w:val="20"/>
        </w:rPr>
        <w:t xml:space="preserve"> Fair Business Practices, Supply Chain Sustainability, Petroleum Retail Industry, Ethical Management</w:t>
      </w:r>
    </w:p>
    <w:p w14:paraId="64A7E5E2" w14:textId="77777777" w:rsidR="000A1D3E" w:rsidRPr="0086360E" w:rsidRDefault="000A1D3E" w:rsidP="000A1D3E">
      <w:pPr>
        <w:spacing w:line="240" w:lineRule="auto"/>
        <w:rPr>
          <w:rFonts w:cs="Times New Roman"/>
          <w:b/>
          <w:szCs w:val="24"/>
        </w:rPr>
      </w:pPr>
      <w:r w:rsidRPr="0086360E">
        <w:rPr>
          <w:rFonts w:cs="Times New Roman"/>
          <w:b/>
          <w:szCs w:val="24"/>
        </w:rPr>
        <w:t>Introduction</w:t>
      </w:r>
    </w:p>
    <w:p w14:paraId="50BD63C8" w14:textId="77777777" w:rsidR="00331399" w:rsidRPr="003D3862" w:rsidRDefault="00331399" w:rsidP="00331399">
      <w:pPr>
        <w:spacing w:line="240" w:lineRule="auto"/>
        <w:rPr>
          <w:rFonts w:cs="Times New Roman"/>
          <w:szCs w:val="24"/>
        </w:rPr>
      </w:pPr>
      <w:r w:rsidRPr="003D3862">
        <w:rPr>
          <w:rFonts w:cs="Times New Roman"/>
          <w:szCs w:val="24"/>
        </w:rPr>
        <w:t>The integration of ethical business practices into supply chain operations is gaining attention globally, especially in sectors with substantial environmental and social impact. In the petroleum retail industry, fair practices such as transparency, accountability, and regulatory compliance are continuously recognized as key to achieving sustainable supply chains. These practices help build trust, foster long-term supplier relationships, and ensure operational continuity (Chukwu et al., 2023). As concerns about environmental degradation and unethical conduct grow, the need to embed fairness in business operations has become more pressing.</w:t>
      </w:r>
    </w:p>
    <w:p w14:paraId="0CA9DC15" w14:textId="77777777" w:rsidR="00331399" w:rsidRPr="003D3862" w:rsidRDefault="00331399" w:rsidP="00331399">
      <w:pPr>
        <w:spacing w:line="240" w:lineRule="auto"/>
        <w:rPr>
          <w:rFonts w:cs="Times New Roman"/>
          <w:szCs w:val="24"/>
        </w:rPr>
      </w:pPr>
      <w:r w:rsidRPr="003D3862">
        <w:rPr>
          <w:rFonts w:cs="Times New Roman"/>
          <w:szCs w:val="24"/>
        </w:rPr>
        <w:t>In Nigeria, and particularly in urban cities like Ibadan, petroleum retail outlets are essential to economic activities and transportation. However, the sector is often marred by issues such as price manipulation, fuel hoarding, and non-compliance with environmental standards. These actions undermine supply chain sustainability, erode public trust, and create inefficiencies across the distribution network (</w:t>
      </w:r>
      <w:proofErr w:type="spellStart"/>
      <w:r w:rsidRPr="003D3862">
        <w:rPr>
          <w:rFonts w:cs="Times New Roman"/>
          <w:szCs w:val="24"/>
        </w:rPr>
        <w:t>Olujobi</w:t>
      </w:r>
      <w:proofErr w:type="spellEnd"/>
      <w:r w:rsidRPr="003D3862">
        <w:rPr>
          <w:rFonts w:cs="Times New Roman"/>
          <w:szCs w:val="24"/>
        </w:rPr>
        <w:t>, 2021; Josiah et al., 2024). Addressing these concerns requires a shift towards ethical practices that support both operational efficiency and long-term viability.</w:t>
      </w:r>
    </w:p>
    <w:p w14:paraId="6B6CBEBC" w14:textId="77777777" w:rsidR="00331399" w:rsidRDefault="00331399" w:rsidP="00331399">
      <w:pPr>
        <w:spacing w:line="240" w:lineRule="auto"/>
        <w:rPr>
          <w:rFonts w:cs="Times New Roman"/>
          <w:szCs w:val="24"/>
        </w:rPr>
      </w:pPr>
      <w:r w:rsidRPr="003D3862">
        <w:rPr>
          <w:rFonts w:cs="Times New Roman"/>
          <w:szCs w:val="24"/>
        </w:rPr>
        <w:t>Existing research in Nigeria tends to focus on supply chain sustainability in manufacturing and large-scale operations, with limited emphasis on the retail petroleum sector. This has created a knowledge gap, particularly in understanding how fair business conduct influences supply chain outcomes within local settings. A better understanding of this relationship in Ibadan's petroleum retail environment could inform strategies that enhance both ethical standards and supply chain performance.</w:t>
      </w:r>
      <w:r w:rsidRPr="003D3862">
        <w:rPr>
          <w:rFonts w:cs="Times New Roman"/>
          <w:szCs w:val="24"/>
        </w:rPr>
        <w:br/>
        <w:t xml:space="preserve">Petroleum retailers in Ibadan operate in a challenging environment characterized by high competition and inconsistent supply. The pursuit of profit often leads to practices that compromise transparency and long-term sustainability. Without clear evidence on how fair business practices influence supply chain outcomes, efforts to improve sectoral performance remain limited (Josiah et al., 2024). </w:t>
      </w:r>
      <w:bookmarkStart w:id="0" w:name="_Hlk200372303"/>
      <w:r w:rsidRPr="003D3862">
        <w:rPr>
          <w:rFonts w:cs="Times New Roman"/>
          <w:szCs w:val="24"/>
        </w:rPr>
        <w:t xml:space="preserve">This study, therefore, aims to assess the relationship between fair business practices and supply chain sustainability in selected petroleum retail outlets in Ibadan, </w:t>
      </w:r>
      <w:r>
        <w:rPr>
          <w:rFonts w:cs="Times New Roman"/>
          <w:szCs w:val="24"/>
        </w:rPr>
        <w:t>Nigeria</w:t>
      </w:r>
      <w:bookmarkEnd w:id="0"/>
      <w:r w:rsidRPr="003D3862">
        <w:rPr>
          <w:rFonts w:cs="Times New Roman"/>
          <w:szCs w:val="24"/>
        </w:rPr>
        <w:t xml:space="preserve">. By doing so, </w:t>
      </w:r>
      <w:r w:rsidRPr="003D3862">
        <w:rPr>
          <w:rFonts w:cs="Times New Roman"/>
          <w:szCs w:val="24"/>
        </w:rPr>
        <w:lastRenderedPageBreak/>
        <w:t>it seeks to generate insights that can guide operators, policymakers, and regulators in fostering ethical and sustainable supply chain practices. To guide this investigation, the following hypothesis is proposed:</w:t>
      </w:r>
    </w:p>
    <w:p w14:paraId="45DE1979" w14:textId="77777777" w:rsidR="00331399" w:rsidRPr="003D3862" w:rsidRDefault="00331399" w:rsidP="00331399">
      <w:pPr>
        <w:spacing w:line="240" w:lineRule="auto"/>
        <w:rPr>
          <w:rFonts w:cs="Times New Roman"/>
          <w:szCs w:val="24"/>
        </w:rPr>
      </w:pPr>
      <w:r w:rsidRPr="003D3862">
        <w:rPr>
          <w:rFonts w:cs="Times New Roman"/>
          <w:szCs w:val="24"/>
        </w:rPr>
        <w:t xml:space="preserve">H0: Fair business practice does not have a significant relationship with supply chain sustainability of selected petrol stations in Ibadan, </w:t>
      </w:r>
      <w:r>
        <w:rPr>
          <w:rFonts w:cs="Times New Roman"/>
          <w:szCs w:val="24"/>
        </w:rPr>
        <w:t>Nigeria</w:t>
      </w:r>
      <w:r w:rsidRPr="003D3862">
        <w:rPr>
          <w:rFonts w:cs="Times New Roman"/>
          <w:szCs w:val="24"/>
        </w:rPr>
        <w:t>.</w:t>
      </w:r>
    </w:p>
    <w:p w14:paraId="74841570" w14:textId="77777777" w:rsidR="00331399" w:rsidRPr="00331399" w:rsidRDefault="00331399" w:rsidP="00331399">
      <w:pPr>
        <w:spacing w:line="240" w:lineRule="auto"/>
        <w:rPr>
          <w:rFonts w:cs="Times New Roman"/>
          <w:b/>
          <w:bCs/>
          <w:szCs w:val="24"/>
        </w:rPr>
      </w:pPr>
      <w:r w:rsidRPr="00331399">
        <w:rPr>
          <w:rFonts w:cs="Times New Roman"/>
          <w:b/>
          <w:bCs/>
          <w:szCs w:val="24"/>
        </w:rPr>
        <w:t xml:space="preserve">Literature Review </w:t>
      </w:r>
    </w:p>
    <w:p w14:paraId="0A376BC4" w14:textId="77777777" w:rsidR="00331399" w:rsidRDefault="00331399" w:rsidP="00331399">
      <w:pPr>
        <w:spacing w:line="240" w:lineRule="auto"/>
        <w:rPr>
          <w:rFonts w:cs="Times New Roman"/>
          <w:szCs w:val="24"/>
        </w:rPr>
      </w:pPr>
      <w:r w:rsidRPr="003D3862">
        <w:rPr>
          <w:rFonts w:cs="Times New Roman"/>
          <w:szCs w:val="24"/>
        </w:rPr>
        <w:t>A supply chain refers to the interconnected network of organizations, activities, resources, and technologies involved in the production and delivery of a product or service from the point of origin to the end consumer (Dubey et al., 2020). It encompasses various functions such as procurement, logistics, inventory management, production, and distribution. Each entity within the chain—whether supplier, manufacturer, transporter, or retailer—plays a role in ensuring that goods and services are efficiently moved and made available to consumers. The performance of a supply chain is often influenced by coordination among these entities, information flow, and the ability to respond to market demands and disruptions.</w:t>
      </w:r>
    </w:p>
    <w:p w14:paraId="0B2DFE45" w14:textId="77777777" w:rsidR="00331399" w:rsidRDefault="00331399" w:rsidP="00331399">
      <w:pPr>
        <w:spacing w:line="240" w:lineRule="auto"/>
        <w:rPr>
          <w:rFonts w:cs="Times New Roman"/>
          <w:szCs w:val="24"/>
        </w:rPr>
      </w:pPr>
      <w:r w:rsidRPr="003D3862">
        <w:rPr>
          <w:rFonts w:cs="Times New Roman"/>
          <w:szCs w:val="24"/>
        </w:rPr>
        <w:t xml:space="preserve">Supply chain sustainability focuses on managing the environmental, social, and economic impacts of supply chain activities in a way that supports long-term viability. It involves integrating sustainable practices into sourcing, production, transportation, and distribution processes. The goal is to minimize negative outcomes such as waste, emissions, and resource depletion while ensuring that operations remain economically viable and socially responsible (Giannakis &amp; Papadopoulos, 2016). Sustainable supply chains aim to balance operational efficiency with the preservation of resources needed for future business continuity and societal well-being. </w:t>
      </w:r>
    </w:p>
    <w:p w14:paraId="7E805C27" w14:textId="77777777" w:rsidR="00331399" w:rsidRDefault="00331399" w:rsidP="00331399">
      <w:pPr>
        <w:spacing w:line="240" w:lineRule="auto"/>
        <w:rPr>
          <w:rFonts w:cs="Times New Roman"/>
          <w:szCs w:val="24"/>
        </w:rPr>
      </w:pPr>
      <w:r w:rsidRPr="003D3862">
        <w:rPr>
          <w:rFonts w:cs="Times New Roman"/>
          <w:szCs w:val="24"/>
        </w:rPr>
        <w:t>Incorporating sustainability into supply chain management has become very important as stakeholders—ranging from governments to consumers—demand greater accountability and environmental responsibility. Sustainable practices within supply chains can reduce operational risks, improve compliance with regulations, and enhance brand reputation. Additionally, organizations that align their supply chains with sustainability goals are better positioned to adapt to shifts in resource availability, market expectations, and policy environments. As supply chains grow more global and complex, sustainability offers a framework for managing these challenges while supporting long-term operational effectiveness (Gouda &amp; Saranga, 2018; Vyas et al., 2025).</w:t>
      </w:r>
    </w:p>
    <w:p w14:paraId="1D5C4220" w14:textId="77777777" w:rsidR="00331399" w:rsidRDefault="00331399" w:rsidP="00331399">
      <w:pPr>
        <w:spacing w:line="240" w:lineRule="auto"/>
        <w:rPr>
          <w:rFonts w:cs="Times New Roman"/>
          <w:szCs w:val="24"/>
        </w:rPr>
      </w:pPr>
      <w:r w:rsidRPr="003D3862">
        <w:rPr>
          <w:rFonts w:cs="Times New Roman"/>
          <w:szCs w:val="24"/>
        </w:rPr>
        <w:t xml:space="preserve">Fair business practices refer to ethical standards and behaviours that promote honesty, transparency, and accountability in dealings with all stakeholders, including suppliers, customers, employees, and regulators. These practices involve adherence to contractual agreements, compliance with legal and regulatory requirements, equitable treatment of partners, and open communication throughout the business process. Organizations that operate fairly tend to foster trust and long-term relationships across their networks, reducing the risk of conflict and enhancing operational stability (Chukwu et al., 2023). </w:t>
      </w:r>
    </w:p>
    <w:p w14:paraId="77618623" w14:textId="77777777" w:rsidR="00331399" w:rsidRPr="003D3862" w:rsidRDefault="00331399" w:rsidP="00331399">
      <w:pPr>
        <w:spacing w:line="240" w:lineRule="auto"/>
        <w:rPr>
          <w:rFonts w:cs="Times New Roman"/>
          <w:szCs w:val="24"/>
        </w:rPr>
      </w:pPr>
      <w:r w:rsidRPr="003D3862">
        <w:rPr>
          <w:rFonts w:cs="Times New Roman"/>
          <w:szCs w:val="24"/>
        </w:rPr>
        <w:t xml:space="preserve">When fair business practices are embedded in supply chain operations, they contribute to improved collaboration, reduced transaction costs, and stronger risk management. Ethical conduct encourages timely delivery, consistency in quality, and reliable information sharing, all of which are vital for the smooth functioning of a sustainable supply chain. Moreover, suppliers and distributors are more likely to remain engaged and cooperative in networks where fairness prevails, leading to improved resilience and continuity. Over time, these practices help create an </w:t>
      </w:r>
      <w:r w:rsidRPr="003D3862">
        <w:rPr>
          <w:rFonts w:cs="Times New Roman"/>
          <w:szCs w:val="24"/>
        </w:rPr>
        <w:lastRenderedPageBreak/>
        <w:t>environment where supply chain partners can collectively pursue long-term sustainability goals, such as resource efficiency and regulatory compliance (Ferrell et al., 2013; Esan et al., 2024).</w:t>
      </w:r>
    </w:p>
    <w:p w14:paraId="7363D59D" w14:textId="77777777" w:rsidR="00331399" w:rsidRPr="00331399" w:rsidRDefault="00331399" w:rsidP="00331399">
      <w:pPr>
        <w:spacing w:line="240" w:lineRule="auto"/>
        <w:rPr>
          <w:rFonts w:cs="Times New Roman"/>
          <w:b/>
          <w:bCs/>
          <w:szCs w:val="24"/>
        </w:rPr>
      </w:pPr>
      <w:r w:rsidRPr="00331399">
        <w:rPr>
          <w:rFonts w:cs="Times New Roman"/>
          <w:b/>
          <w:bCs/>
          <w:szCs w:val="24"/>
        </w:rPr>
        <w:t>Theoretical Review</w:t>
      </w:r>
    </w:p>
    <w:p w14:paraId="5806CD43" w14:textId="77777777" w:rsidR="00331399" w:rsidRPr="003D3862" w:rsidRDefault="00331399" w:rsidP="00331399">
      <w:pPr>
        <w:spacing w:line="240" w:lineRule="auto"/>
        <w:rPr>
          <w:rFonts w:cs="Times New Roman"/>
          <w:szCs w:val="24"/>
        </w:rPr>
      </w:pPr>
      <w:r w:rsidRPr="003D3862">
        <w:rPr>
          <w:rFonts w:cs="Times New Roman"/>
          <w:i/>
          <w:iCs/>
          <w:szCs w:val="24"/>
        </w:rPr>
        <w:t>Stakeholder theory</w:t>
      </w:r>
      <w:r w:rsidRPr="003D3862">
        <w:rPr>
          <w:rFonts w:cs="Times New Roman"/>
          <w:szCs w:val="24"/>
        </w:rPr>
        <w:t xml:space="preserve"> posits that organizations have a responsibility to consider and balance the interests of all parties who are affected by or can affect their operations, extending beyond shareholders to include suppliers, customers, employees, regulatory bodies, and the wider community. It emphasizes the interconnectedness of business decisions and the broader system within which firms operate, where ethical conduct and accountability to various stakeholders are essential for maintaining legitimacy and operational stability (</w:t>
      </w:r>
      <w:proofErr w:type="spellStart"/>
      <w:r w:rsidRPr="003D3862">
        <w:rPr>
          <w:rFonts w:cs="Times New Roman"/>
          <w:szCs w:val="24"/>
        </w:rPr>
        <w:t>Dmytriyev</w:t>
      </w:r>
      <w:proofErr w:type="spellEnd"/>
      <w:r w:rsidRPr="003D3862">
        <w:rPr>
          <w:rFonts w:cs="Times New Roman"/>
          <w:szCs w:val="24"/>
        </w:rPr>
        <w:t xml:space="preserve"> et al., 2021; Ozdemir et al., 2023). When it comes to petroleum retail outlets, the theory highlights the importance of transparent, respectful, and law-abiding interactions with supply chain actors, such as fuel distributors, transporters, and regulatory authorities, whose cooperation is essential for the uninterrupted flow of goods and services. Fair business practices—such as honouring contracts, ensuring prompt payments, complying with environmental regulations, and avoiding exploitative behaviour—are mechanisms through which firms meet stakeholder expectations. These practices can influence how stakeholders respond to and engage with a business, affecting the reliability and sustainability of supply chain activities. </w:t>
      </w:r>
      <w:r w:rsidRPr="00720377">
        <w:rPr>
          <w:rFonts w:cs="Times New Roman"/>
          <w:i/>
          <w:iCs/>
          <w:szCs w:val="24"/>
        </w:rPr>
        <w:t>Stakeholder Theory</w:t>
      </w:r>
      <w:r w:rsidRPr="003D3862">
        <w:rPr>
          <w:rFonts w:cs="Times New Roman"/>
          <w:szCs w:val="24"/>
        </w:rPr>
        <w:t xml:space="preserve"> provides a framework for understanding how ethical obligations and social expectations shape business behaviour in ways that directly impact supply chain performance and continuity (Chukwu et al., 2023).</w:t>
      </w:r>
    </w:p>
    <w:p w14:paraId="17FD6C78" w14:textId="77777777" w:rsidR="00331399" w:rsidRPr="003D3862" w:rsidRDefault="00331399" w:rsidP="00331399">
      <w:pPr>
        <w:spacing w:line="240" w:lineRule="auto"/>
        <w:rPr>
          <w:rFonts w:cs="Times New Roman"/>
          <w:szCs w:val="24"/>
        </w:rPr>
      </w:pPr>
      <w:r w:rsidRPr="003D3862">
        <w:rPr>
          <w:rFonts w:cs="Times New Roman"/>
          <w:i/>
          <w:iCs/>
          <w:szCs w:val="24"/>
        </w:rPr>
        <w:t>Institutional theory</w:t>
      </w:r>
      <w:r w:rsidRPr="003D3862">
        <w:rPr>
          <w:rFonts w:cs="Times New Roman"/>
          <w:szCs w:val="24"/>
        </w:rPr>
        <w:t xml:space="preserve"> focuses on how organizations are influenced by the norms, rules, and expectations established by the social, legal, and regulatory environments in which they operate, leading them to adopt certain structures and behaviours to gain legitimacy and acceptance (Kauppi, 2022). This theory explains that firms often conform to external pressures from government agencies, industry bodies, and societal norms to ensure their survival and competitiveness within a given environment. In the petroleum retail sector, organizations must navigate a complex web of regulations concerning safety standards, environmental protection, pricing controls, and business ethics, which shape their operational decisions and relationships with suppliers, customers, and regulators. Adherence to these institutional demands often requires companies to implement fair business practices, such as transparent reporting, compliance with contractual obligations, and equitable treatment of partners, to align themselves with prevailing legal and societal expectations (Akinsola, 2025). These adaptations help petroleum retailers maintain their license to operate and build trust with stakeholders, which can influence the continuity and sustainability of their supply chains. </w:t>
      </w:r>
      <w:r w:rsidRPr="00720377">
        <w:rPr>
          <w:rFonts w:cs="Times New Roman"/>
          <w:i/>
          <w:iCs/>
          <w:szCs w:val="24"/>
        </w:rPr>
        <w:t>Institutional Theory</w:t>
      </w:r>
      <w:r w:rsidRPr="003D3862">
        <w:rPr>
          <w:rFonts w:cs="Times New Roman"/>
          <w:szCs w:val="24"/>
        </w:rPr>
        <w:t xml:space="preserve"> thus provides a lens to understand how external institutional forces drive petroleum retail outlets to adopt practices that impact the long-term viability and ethical standing of their supply chain operations.</w:t>
      </w:r>
    </w:p>
    <w:p w14:paraId="7036E4FF" w14:textId="77777777" w:rsidR="00331399" w:rsidRPr="003D3862" w:rsidRDefault="00331399" w:rsidP="00331399">
      <w:pPr>
        <w:pStyle w:val="ListParagraph"/>
        <w:numPr>
          <w:ilvl w:val="0"/>
          <w:numId w:val="1"/>
        </w:numPr>
        <w:spacing w:line="240" w:lineRule="auto"/>
        <w:rPr>
          <w:rFonts w:cs="Times New Roman"/>
          <w:b/>
          <w:bCs/>
          <w:szCs w:val="24"/>
        </w:rPr>
      </w:pPr>
      <w:r w:rsidRPr="003D3862">
        <w:rPr>
          <w:rFonts w:cs="Times New Roman"/>
          <w:b/>
          <w:bCs/>
          <w:szCs w:val="24"/>
        </w:rPr>
        <w:t>Empirical Review</w:t>
      </w:r>
    </w:p>
    <w:p w14:paraId="04FC0DB1" w14:textId="77777777" w:rsidR="00331399" w:rsidRPr="003D3862" w:rsidRDefault="00331399" w:rsidP="00331399">
      <w:pPr>
        <w:spacing w:line="240" w:lineRule="auto"/>
        <w:rPr>
          <w:rFonts w:cs="Times New Roman"/>
          <w:szCs w:val="24"/>
        </w:rPr>
      </w:pPr>
      <w:r w:rsidRPr="003D3862">
        <w:rPr>
          <w:rFonts w:cs="Times New Roman"/>
          <w:szCs w:val="24"/>
        </w:rPr>
        <w:t xml:space="preserve">Zhang et al. (2020) conduct an empirical case study to explore supply chain management within a fair-trade craft company in China, where fair trade is still an emerging concept. The study investigates key decision-making areas such as purchasing, supplier relationship management, internal operations, and customer relationship management. The company examined performs dual roles as both a fair-trade organization and retailer, using an in-house certification system and vertical integration to maintain control. Findings reveal various supply chain risks and challenges, including lack of third-party certification, low public awareness, and weak brand recognition. The research also identifies distinctive features of the Chinese fair-trade environment compared to </w:t>
      </w:r>
      <w:r w:rsidRPr="003D3862">
        <w:rPr>
          <w:rFonts w:cs="Times New Roman"/>
          <w:szCs w:val="24"/>
        </w:rPr>
        <w:lastRenderedPageBreak/>
        <w:t>Western settings, such as domestic trade between richer and poorer regions. The study emphasizes the need for improved standardization and awareness to support ethical and sustainable trading practices. This work provides insight into the operational realities of fair trade in a non-Western context and informs future strategies for building more effective and responsible supply chains in developing markets.</w:t>
      </w:r>
    </w:p>
    <w:p w14:paraId="54A5E6F0" w14:textId="77777777" w:rsidR="00331399" w:rsidRPr="003D3862" w:rsidRDefault="00331399" w:rsidP="00331399">
      <w:pPr>
        <w:spacing w:line="240" w:lineRule="auto"/>
        <w:rPr>
          <w:rFonts w:cs="Times New Roman"/>
          <w:szCs w:val="24"/>
        </w:rPr>
      </w:pPr>
      <w:r w:rsidRPr="003D3862">
        <w:rPr>
          <w:rFonts w:cs="Times New Roman"/>
          <w:szCs w:val="24"/>
        </w:rPr>
        <w:t>Silva and Figueiredo (2020) present an empirical study advocating a shift in supply chain sustainability (SCS) research from a focus on sustainability-performance outcomes to understanding sustainability as a set of practices. Their four-year qualitative case study of a Brazilian family-owned rubber manufacturing company reveals how sustainability emerges through practical actions within and across the supply chain. They identify five key sustainability practices—cooperating, understanding, deeming, improving, and changing the logic—that enable the company and its supply chain to work toward Sustainable Development Goal 12 (responsible consumption and production). This process-oriented perspective moves beyond the traditional triple bottom line to a more dynamic, practice-based approach, emphasizing how sustainability is enacted daily. The findings contribute to theory by framing sustainability as a bundle of evolving practices rather than static outcomes, offering fresh insights for both researchers and practitioners aiming to foster responsible business in supply chains. This approach highlights the importance of collaborative and adaptive behaviours in achieving sustainable supply chain management, shifting attention to the micro-level actions that drive sustainability progress. Consequently, their work enriches the understanding of how medium-sized organizations operationalize sustainability, providing practical pathways for embedding sustainability goals in business processes and relationships.</w:t>
      </w:r>
    </w:p>
    <w:p w14:paraId="7B996265" w14:textId="77777777" w:rsidR="00331399" w:rsidRPr="003D3862" w:rsidRDefault="00331399" w:rsidP="00331399">
      <w:pPr>
        <w:spacing w:line="240" w:lineRule="auto"/>
        <w:rPr>
          <w:rFonts w:cs="Times New Roman"/>
          <w:szCs w:val="24"/>
        </w:rPr>
      </w:pPr>
      <w:r w:rsidRPr="003D3862">
        <w:rPr>
          <w:rFonts w:cs="Times New Roman"/>
          <w:szCs w:val="24"/>
        </w:rPr>
        <w:t>Qian et al. (2020) investigate channel coordination in a two-echelon sustainable supply chain comprising a socially responsible manufacturer and a fair-minded retailer under cap-and-trade regulation. Using mathematical models, they compare four contract types—two non-cooperative</w:t>
      </w:r>
      <w:r>
        <w:rPr>
          <w:rFonts w:cs="Times New Roman"/>
          <w:szCs w:val="24"/>
        </w:rPr>
        <w:t>s</w:t>
      </w:r>
      <w:r w:rsidRPr="003D3862">
        <w:rPr>
          <w:rFonts w:cs="Times New Roman"/>
          <w:szCs w:val="24"/>
        </w:rPr>
        <w:t xml:space="preserve"> (wholesale price and two-part tariff) and two cooperative</w:t>
      </w:r>
      <w:r>
        <w:rPr>
          <w:rFonts w:cs="Times New Roman"/>
          <w:szCs w:val="24"/>
        </w:rPr>
        <w:t>s</w:t>
      </w:r>
      <w:r w:rsidRPr="003D3862">
        <w:rPr>
          <w:rFonts w:cs="Times New Roman"/>
          <w:szCs w:val="24"/>
        </w:rPr>
        <w:t xml:space="preserve"> (Nash bargaining and Rubinstein bargaining)—to assess environmental performance and channel profitability. Their analysis, supported by numerical experiments, reveals that wholesale price contracts underperform in reducing carbon emissions and generating profits compared to other contracts. While the two-part tariff contract offers partial coordination, both bargaining contracts achieve perfect coordination, aligning decentralized decisions with centralized outcomes. Fairness concerns from the retailer increase their profit but reduce the manufacturer’s profit, particularly under non-cooperative contracts. Sensitivity analysis shows that intensified fairness reduces sustainability and profits in non-cooperative settings but leaves cooperative contracts unaffected. Consequently, the study highlights that cooperative bargaining contracts are more robust to fairness preferences and preferable for maintaining sustainability and profitability in supply chains with socially conscious stakeholders.</w:t>
      </w:r>
    </w:p>
    <w:p w14:paraId="4660BB65" w14:textId="77777777" w:rsidR="00331399" w:rsidRPr="00331399" w:rsidRDefault="00331399" w:rsidP="00331399">
      <w:pPr>
        <w:spacing w:line="240" w:lineRule="auto"/>
        <w:rPr>
          <w:rFonts w:cs="Times New Roman"/>
          <w:b/>
          <w:bCs/>
          <w:szCs w:val="24"/>
        </w:rPr>
      </w:pPr>
      <w:r w:rsidRPr="00331399">
        <w:rPr>
          <w:rFonts w:cs="Times New Roman"/>
          <w:b/>
          <w:bCs/>
          <w:szCs w:val="24"/>
        </w:rPr>
        <w:t>Methodology</w:t>
      </w:r>
    </w:p>
    <w:p w14:paraId="0801F187" w14:textId="77777777" w:rsidR="00331399" w:rsidRPr="003D3862" w:rsidRDefault="00331399" w:rsidP="00331399">
      <w:pPr>
        <w:spacing w:line="240" w:lineRule="auto"/>
        <w:rPr>
          <w:rFonts w:cs="Times New Roman"/>
          <w:szCs w:val="24"/>
        </w:rPr>
      </w:pPr>
      <w:bookmarkStart w:id="1" w:name="_Hlk200372229"/>
      <w:r w:rsidRPr="003D3862">
        <w:rPr>
          <w:rFonts w:cs="Times New Roman"/>
          <w:szCs w:val="24"/>
        </w:rPr>
        <w:t xml:space="preserve">This study adopts a descriptive survey design to explore the relationship between fair business practices and supply chain sustainability in selected petroleum retail outlets in Ibadan, </w:t>
      </w:r>
      <w:r>
        <w:rPr>
          <w:rFonts w:cs="Times New Roman"/>
          <w:szCs w:val="24"/>
        </w:rPr>
        <w:t xml:space="preserve">Nigeria. </w:t>
      </w:r>
      <w:r w:rsidRPr="003D3862">
        <w:rPr>
          <w:rFonts w:cs="Times New Roman"/>
          <w:szCs w:val="24"/>
        </w:rPr>
        <w:t>The design focuses on measuring two main variables: the independent variable (fair business practices) and the dependent variable (supply-chain sustainability). The target population consists of staff members from various departments of three petrol stations—</w:t>
      </w:r>
      <w:proofErr w:type="spellStart"/>
      <w:r w:rsidRPr="003D3862">
        <w:rPr>
          <w:rFonts w:cs="Times New Roman"/>
          <w:szCs w:val="24"/>
        </w:rPr>
        <w:t>Conoil</w:t>
      </w:r>
      <w:proofErr w:type="spellEnd"/>
      <w:r w:rsidRPr="003D3862">
        <w:rPr>
          <w:rFonts w:cs="Times New Roman"/>
          <w:szCs w:val="24"/>
        </w:rPr>
        <w:t xml:space="preserve">, BOVAS, and </w:t>
      </w:r>
      <w:proofErr w:type="spellStart"/>
      <w:r w:rsidRPr="003D3862">
        <w:rPr>
          <w:rFonts w:cs="Times New Roman"/>
          <w:szCs w:val="24"/>
        </w:rPr>
        <w:t>Richbam</w:t>
      </w:r>
      <w:proofErr w:type="spellEnd"/>
      <w:r w:rsidRPr="003D3862">
        <w:rPr>
          <w:rFonts w:cs="Times New Roman"/>
          <w:szCs w:val="24"/>
        </w:rPr>
        <w:t xml:space="preserve">—with a total population of 101 employees. Using convenience sampling, 88 respondents </w:t>
      </w:r>
      <w:r w:rsidRPr="003D3862">
        <w:rPr>
          <w:rFonts w:cs="Times New Roman"/>
          <w:szCs w:val="24"/>
        </w:rPr>
        <w:lastRenderedPageBreak/>
        <w:t xml:space="preserve">were selected based on accessibility, with the sample size determined by Taro Yamane’s formula to ensure statistical adequacy, and a 10% increase was added to account for potential non-responses. Data was collected primarily through a structured, self-administered questionnaire divided into three sections: demographic information, measures of </w:t>
      </w:r>
      <w:r>
        <w:rPr>
          <w:rFonts w:cs="Times New Roman"/>
          <w:szCs w:val="24"/>
        </w:rPr>
        <w:t>fair business</w:t>
      </w:r>
      <w:r w:rsidRPr="003D3862">
        <w:rPr>
          <w:rFonts w:cs="Times New Roman"/>
          <w:szCs w:val="24"/>
        </w:rPr>
        <w:t xml:space="preserve"> practices, and indicators of supply-chain sustainability, all assessed using a five-point Likert scale. To ensure the instrument’s validity, expert reviews and a pilot test were conducted, with necessary adjustments made to improve clarity and relevance. Reliability was tested using Cronbach’s alpha, targeting a minimum acceptable threshold of 0.7 to confirm internal consistency. Data analysis involved descriptive statistics to summarize demographic characteristics and Pearson correlation to test hypotheses regarding the relationships among the variables. </w:t>
      </w:r>
      <w:bookmarkEnd w:id="1"/>
    </w:p>
    <w:p w14:paraId="4D9B87BB" w14:textId="77777777" w:rsidR="00331399" w:rsidRPr="00331399" w:rsidRDefault="00331399" w:rsidP="00331399">
      <w:pPr>
        <w:spacing w:line="240" w:lineRule="auto"/>
        <w:rPr>
          <w:rFonts w:cs="Times New Roman"/>
          <w:b/>
          <w:bCs/>
          <w:szCs w:val="24"/>
        </w:rPr>
      </w:pPr>
      <w:r w:rsidRPr="00331399">
        <w:rPr>
          <w:rFonts w:cs="Times New Roman"/>
          <w:b/>
          <w:bCs/>
          <w:szCs w:val="24"/>
        </w:rPr>
        <w:t>Data Presentation and Analyses</w:t>
      </w:r>
    </w:p>
    <w:p w14:paraId="62B2F9E8" w14:textId="77777777" w:rsidR="00331399" w:rsidRPr="003D3862" w:rsidRDefault="00331399" w:rsidP="00331399">
      <w:pPr>
        <w:pStyle w:val="ListParagraph"/>
        <w:numPr>
          <w:ilvl w:val="1"/>
          <w:numId w:val="1"/>
        </w:numPr>
        <w:spacing w:line="240" w:lineRule="auto"/>
        <w:rPr>
          <w:rFonts w:cs="Times New Roman"/>
          <w:b/>
          <w:bCs/>
          <w:szCs w:val="24"/>
        </w:rPr>
      </w:pPr>
      <w:r>
        <w:rPr>
          <w:rFonts w:cs="Times New Roman"/>
          <w:b/>
          <w:bCs/>
          <w:szCs w:val="24"/>
        </w:rPr>
        <w:t xml:space="preserve"> </w:t>
      </w:r>
      <w:r w:rsidRPr="003D3862">
        <w:rPr>
          <w:rFonts w:cs="Times New Roman"/>
          <w:b/>
          <w:bCs/>
          <w:szCs w:val="24"/>
        </w:rPr>
        <w:t>Demographic Data</w:t>
      </w:r>
    </w:p>
    <w:p w14:paraId="072A257B" w14:textId="77777777" w:rsidR="00331399" w:rsidRPr="003D3862" w:rsidRDefault="00331399" w:rsidP="00331399">
      <w:pPr>
        <w:spacing w:line="240" w:lineRule="auto"/>
        <w:rPr>
          <w:rFonts w:cs="Times New Roman"/>
          <w:szCs w:val="24"/>
        </w:rPr>
      </w:pPr>
      <w:r w:rsidRPr="003D3862">
        <w:rPr>
          <w:rFonts w:cs="Times New Roman"/>
          <w:szCs w:val="24"/>
        </w:rPr>
        <w:t>Table 1: Showing demographic data of respondents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3"/>
        <w:gridCol w:w="2430"/>
        <w:gridCol w:w="2340"/>
      </w:tblGrid>
      <w:tr w:rsidR="00331399" w:rsidRPr="003D3862" w14:paraId="1AB3413B" w14:textId="77777777" w:rsidTr="009D3E20">
        <w:tc>
          <w:tcPr>
            <w:tcW w:w="3353" w:type="dxa"/>
          </w:tcPr>
          <w:p w14:paraId="76EC9E3F" w14:textId="77777777" w:rsidR="00331399" w:rsidRPr="003D3862" w:rsidRDefault="00331399" w:rsidP="00331399">
            <w:pPr>
              <w:spacing w:before="16" w:after="16" w:line="240" w:lineRule="auto"/>
              <w:rPr>
                <w:rFonts w:cs="Times New Roman"/>
                <w:b/>
                <w:i/>
                <w:szCs w:val="24"/>
              </w:rPr>
            </w:pPr>
            <w:bookmarkStart w:id="2" w:name="_Hlk147180338"/>
            <w:r w:rsidRPr="003D3862">
              <w:rPr>
                <w:rFonts w:cs="Times New Roman"/>
                <w:b/>
                <w:szCs w:val="24"/>
              </w:rPr>
              <w:t>Characteristics</w:t>
            </w:r>
          </w:p>
        </w:tc>
        <w:tc>
          <w:tcPr>
            <w:tcW w:w="2430" w:type="dxa"/>
          </w:tcPr>
          <w:p w14:paraId="6E7FCA6C" w14:textId="77777777" w:rsidR="00331399" w:rsidRPr="003D3862" w:rsidRDefault="00331399" w:rsidP="00331399">
            <w:pPr>
              <w:spacing w:before="16" w:after="16" w:line="240" w:lineRule="auto"/>
              <w:rPr>
                <w:rFonts w:cs="Times New Roman"/>
                <w:b/>
                <w:szCs w:val="24"/>
              </w:rPr>
            </w:pPr>
            <w:r w:rsidRPr="003D3862">
              <w:rPr>
                <w:rFonts w:cs="Times New Roman"/>
                <w:b/>
                <w:szCs w:val="24"/>
              </w:rPr>
              <w:t>Frequency</w:t>
            </w:r>
          </w:p>
        </w:tc>
        <w:tc>
          <w:tcPr>
            <w:tcW w:w="2340" w:type="dxa"/>
          </w:tcPr>
          <w:p w14:paraId="37859509" w14:textId="77777777" w:rsidR="00331399" w:rsidRPr="003D3862" w:rsidRDefault="00331399" w:rsidP="00331399">
            <w:pPr>
              <w:spacing w:before="16" w:after="16" w:line="240" w:lineRule="auto"/>
              <w:rPr>
                <w:rFonts w:cs="Times New Roman"/>
                <w:b/>
                <w:szCs w:val="24"/>
              </w:rPr>
            </w:pPr>
            <w:r w:rsidRPr="003D3862">
              <w:rPr>
                <w:rFonts w:cs="Times New Roman"/>
                <w:b/>
                <w:szCs w:val="24"/>
              </w:rPr>
              <w:t>Percentage</w:t>
            </w:r>
          </w:p>
        </w:tc>
      </w:tr>
      <w:tr w:rsidR="00331399" w:rsidRPr="003D3862" w14:paraId="714E0669" w14:textId="77777777" w:rsidTr="009D3E20">
        <w:tc>
          <w:tcPr>
            <w:tcW w:w="8123" w:type="dxa"/>
            <w:gridSpan w:val="3"/>
            <w:vAlign w:val="center"/>
          </w:tcPr>
          <w:p w14:paraId="69DA286E"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b/>
                <w:bCs/>
                <w:szCs w:val="24"/>
              </w:rPr>
              <w:t>Age</w:t>
            </w:r>
          </w:p>
        </w:tc>
      </w:tr>
      <w:tr w:rsidR="00331399" w:rsidRPr="003D3862" w14:paraId="55CBD80E" w14:textId="77777777" w:rsidTr="009D3E20">
        <w:tc>
          <w:tcPr>
            <w:tcW w:w="3353" w:type="dxa"/>
          </w:tcPr>
          <w:p w14:paraId="5958CD0C"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20-30years</w:t>
            </w:r>
          </w:p>
        </w:tc>
        <w:tc>
          <w:tcPr>
            <w:tcW w:w="2430" w:type="dxa"/>
            <w:vAlign w:val="center"/>
          </w:tcPr>
          <w:p w14:paraId="3EBF3C92"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4</w:t>
            </w:r>
          </w:p>
        </w:tc>
        <w:tc>
          <w:tcPr>
            <w:tcW w:w="2340" w:type="dxa"/>
            <w:vAlign w:val="center"/>
          </w:tcPr>
          <w:p w14:paraId="49838681"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4.9%</w:t>
            </w:r>
          </w:p>
        </w:tc>
      </w:tr>
      <w:tr w:rsidR="00331399" w:rsidRPr="003D3862" w14:paraId="671BC0C5" w14:textId="77777777" w:rsidTr="009D3E20">
        <w:tc>
          <w:tcPr>
            <w:tcW w:w="3353" w:type="dxa"/>
          </w:tcPr>
          <w:p w14:paraId="082C7F16"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31-40years</w:t>
            </w:r>
          </w:p>
        </w:tc>
        <w:tc>
          <w:tcPr>
            <w:tcW w:w="2430" w:type="dxa"/>
            <w:vAlign w:val="center"/>
          </w:tcPr>
          <w:p w14:paraId="2E1414FB"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21</w:t>
            </w:r>
          </w:p>
        </w:tc>
        <w:tc>
          <w:tcPr>
            <w:tcW w:w="2340" w:type="dxa"/>
            <w:vAlign w:val="center"/>
          </w:tcPr>
          <w:p w14:paraId="5375BE8B"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26%</w:t>
            </w:r>
          </w:p>
        </w:tc>
      </w:tr>
      <w:tr w:rsidR="00331399" w:rsidRPr="003D3862" w14:paraId="058CCA51" w14:textId="77777777" w:rsidTr="009D3E20">
        <w:tc>
          <w:tcPr>
            <w:tcW w:w="3353" w:type="dxa"/>
          </w:tcPr>
          <w:p w14:paraId="2EBF4373" w14:textId="77777777" w:rsidR="00331399" w:rsidRPr="003D3862" w:rsidRDefault="00331399" w:rsidP="00331399">
            <w:pPr>
              <w:autoSpaceDE w:val="0"/>
              <w:autoSpaceDN w:val="0"/>
              <w:adjustRightInd w:val="0"/>
              <w:spacing w:after="0" w:line="240" w:lineRule="auto"/>
              <w:ind w:left="60" w:right="60"/>
              <w:rPr>
                <w:rFonts w:cs="Times New Roman"/>
                <w:b/>
                <w:szCs w:val="24"/>
              </w:rPr>
            </w:pPr>
            <w:r w:rsidRPr="003D3862">
              <w:rPr>
                <w:rFonts w:cs="Times New Roman"/>
                <w:szCs w:val="24"/>
              </w:rPr>
              <w:t>41-50years</w:t>
            </w:r>
          </w:p>
        </w:tc>
        <w:tc>
          <w:tcPr>
            <w:tcW w:w="2430" w:type="dxa"/>
            <w:vAlign w:val="center"/>
          </w:tcPr>
          <w:p w14:paraId="7A8B4C3E" w14:textId="77777777" w:rsidR="00331399" w:rsidRPr="003D3862" w:rsidRDefault="00331399" w:rsidP="00331399">
            <w:pPr>
              <w:autoSpaceDE w:val="0"/>
              <w:autoSpaceDN w:val="0"/>
              <w:adjustRightInd w:val="0"/>
              <w:spacing w:after="0" w:line="240" w:lineRule="auto"/>
              <w:ind w:left="60" w:right="60"/>
              <w:rPr>
                <w:rFonts w:cs="Times New Roman"/>
                <w:b/>
                <w:szCs w:val="24"/>
              </w:rPr>
            </w:pPr>
            <w:r w:rsidRPr="003D3862">
              <w:rPr>
                <w:rFonts w:cs="Times New Roman"/>
                <w:szCs w:val="24"/>
              </w:rPr>
              <w:t>24</w:t>
            </w:r>
          </w:p>
        </w:tc>
        <w:tc>
          <w:tcPr>
            <w:tcW w:w="2340" w:type="dxa"/>
            <w:vAlign w:val="center"/>
          </w:tcPr>
          <w:p w14:paraId="4CF8F2F0" w14:textId="77777777" w:rsidR="00331399" w:rsidRPr="003D3862" w:rsidRDefault="00331399" w:rsidP="00331399">
            <w:pPr>
              <w:autoSpaceDE w:val="0"/>
              <w:autoSpaceDN w:val="0"/>
              <w:adjustRightInd w:val="0"/>
              <w:spacing w:after="0" w:line="240" w:lineRule="auto"/>
              <w:ind w:left="60" w:right="60"/>
              <w:rPr>
                <w:rFonts w:cs="Times New Roman"/>
                <w:b/>
                <w:szCs w:val="24"/>
              </w:rPr>
            </w:pPr>
            <w:r w:rsidRPr="003D3862">
              <w:rPr>
                <w:rFonts w:cs="Times New Roman"/>
                <w:szCs w:val="24"/>
              </w:rPr>
              <w:t>29.6%</w:t>
            </w:r>
          </w:p>
        </w:tc>
      </w:tr>
      <w:tr w:rsidR="00331399" w:rsidRPr="003D3862" w14:paraId="1C046FB1" w14:textId="77777777" w:rsidTr="009D3E20">
        <w:tc>
          <w:tcPr>
            <w:tcW w:w="3353" w:type="dxa"/>
          </w:tcPr>
          <w:p w14:paraId="053A32D6"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51-60years</w:t>
            </w:r>
          </w:p>
        </w:tc>
        <w:tc>
          <w:tcPr>
            <w:tcW w:w="2430" w:type="dxa"/>
            <w:vAlign w:val="center"/>
          </w:tcPr>
          <w:p w14:paraId="24BCF211"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27</w:t>
            </w:r>
          </w:p>
        </w:tc>
        <w:tc>
          <w:tcPr>
            <w:tcW w:w="2340" w:type="dxa"/>
            <w:vAlign w:val="center"/>
          </w:tcPr>
          <w:p w14:paraId="7F9F4419"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33.3%</w:t>
            </w:r>
          </w:p>
        </w:tc>
      </w:tr>
      <w:tr w:rsidR="00331399" w:rsidRPr="003D3862" w14:paraId="75227A86" w14:textId="77777777" w:rsidTr="009D3E20">
        <w:tc>
          <w:tcPr>
            <w:tcW w:w="3353" w:type="dxa"/>
          </w:tcPr>
          <w:p w14:paraId="713D8F79"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Above 60 years</w:t>
            </w:r>
          </w:p>
        </w:tc>
        <w:tc>
          <w:tcPr>
            <w:tcW w:w="2430" w:type="dxa"/>
            <w:vAlign w:val="center"/>
          </w:tcPr>
          <w:p w14:paraId="61B5FB4F" w14:textId="77777777" w:rsidR="00331399" w:rsidRPr="003D3862" w:rsidRDefault="00331399" w:rsidP="00331399">
            <w:pPr>
              <w:autoSpaceDE w:val="0"/>
              <w:autoSpaceDN w:val="0"/>
              <w:adjustRightInd w:val="0"/>
              <w:spacing w:after="0" w:line="240" w:lineRule="auto"/>
              <w:ind w:left="60" w:right="60"/>
              <w:rPr>
                <w:rFonts w:cs="Times New Roman"/>
                <w:b/>
                <w:bCs/>
                <w:szCs w:val="24"/>
              </w:rPr>
            </w:pPr>
            <w:r w:rsidRPr="003D3862">
              <w:rPr>
                <w:rFonts w:cs="Times New Roman"/>
                <w:szCs w:val="24"/>
              </w:rPr>
              <w:t>5</w:t>
            </w:r>
          </w:p>
        </w:tc>
        <w:tc>
          <w:tcPr>
            <w:tcW w:w="2340" w:type="dxa"/>
            <w:vAlign w:val="center"/>
          </w:tcPr>
          <w:p w14:paraId="1D76E456" w14:textId="77777777" w:rsidR="00331399" w:rsidRPr="003D3862" w:rsidRDefault="00331399" w:rsidP="00331399">
            <w:pPr>
              <w:autoSpaceDE w:val="0"/>
              <w:autoSpaceDN w:val="0"/>
              <w:adjustRightInd w:val="0"/>
              <w:spacing w:after="0" w:line="240" w:lineRule="auto"/>
              <w:ind w:left="60" w:right="60"/>
              <w:rPr>
                <w:rFonts w:cs="Times New Roman"/>
                <w:b/>
                <w:bCs/>
                <w:szCs w:val="24"/>
              </w:rPr>
            </w:pPr>
            <w:r w:rsidRPr="003D3862">
              <w:rPr>
                <w:rFonts w:cs="Times New Roman"/>
                <w:szCs w:val="24"/>
              </w:rPr>
              <w:t>6.2%</w:t>
            </w:r>
          </w:p>
        </w:tc>
      </w:tr>
      <w:tr w:rsidR="00331399" w:rsidRPr="003D3862" w14:paraId="723563AA" w14:textId="77777777" w:rsidTr="009D3E20">
        <w:tc>
          <w:tcPr>
            <w:tcW w:w="3353" w:type="dxa"/>
          </w:tcPr>
          <w:p w14:paraId="46C36B3A" w14:textId="77777777" w:rsidR="00331399" w:rsidRPr="003D3862" w:rsidRDefault="00331399" w:rsidP="00331399">
            <w:pPr>
              <w:autoSpaceDE w:val="0"/>
              <w:autoSpaceDN w:val="0"/>
              <w:adjustRightInd w:val="0"/>
              <w:spacing w:after="0" w:line="240" w:lineRule="auto"/>
              <w:ind w:left="60" w:right="60"/>
              <w:rPr>
                <w:rFonts w:cs="Times New Roman"/>
                <w:b/>
                <w:i/>
                <w:iCs/>
                <w:szCs w:val="24"/>
              </w:rPr>
            </w:pPr>
            <w:r w:rsidRPr="003D3862">
              <w:rPr>
                <w:rFonts w:cs="Times New Roman"/>
                <w:b/>
                <w:i/>
                <w:iCs/>
                <w:szCs w:val="24"/>
              </w:rPr>
              <w:t>Total</w:t>
            </w:r>
          </w:p>
        </w:tc>
        <w:tc>
          <w:tcPr>
            <w:tcW w:w="2430" w:type="dxa"/>
          </w:tcPr>
          <w:p w14:paraId="51F57659"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b/>
                <w:szCs w:val="24"/>
              </w:rPr>
              <w:t>81</w:t>
            </w:r>
          </w:p>
        </w:tc>
        <w:tc>
          <w:tcPr>
            <w:tcW w:w="2340" w:type="dxa"/>
          </w:tcPr>
          <w:p w14:paraId="50CA0BD9"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b/>
                <w:szCs w:val="24"/>
              </w:rPr>
              <w:t>100</w:t>
            </w:r>
            <w:r w:rsidRPr="003D3862">
              <w:rPr>
                <w:rFonts w:cs="Times New Roman"/>
                <w:szCs w:val="24"/>
              </w:rPr>
              <w:t>%</w:t>
            </w:r>
          </w:p>
        </w:tc>
      </w:tr>
      <w:tr w:rsidR="00331399" w:rsidRPr="003D3862" w14:paraId="1D382C53" w14:textId="77777777" w:rsidTr="009D3E20">
        <w:tc>
          <w:tcPr>
            <w:tcW w:w="8123" w:type="dxa"/>
            <w:gridSpan w:val="3"/>
            <w:vAlign w:val="center"/>
          </w:tcPr>
          <w:p w14:paraId="053D56D0"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b/>
                <w:bCs/>
                <w:szCs w:val="24"/>
              </w:rPr>
              <w:t>Gender</w:t>
            </w:r>
          </w:p>
        </w:tc>
      </w:tr>
      <w:tr w:rsidR="00331399" w:rsidRPr="003D3862" w14:paraId="6D3EA922" w14:textId="77777777" w:rsidTr="009D3E20">
        <w:tc>
          <w:tcPr>
            <w:tcW w:w="3353" w:type="dxa"/>
          </w:tcPr>
          <w:p w14:paraId="0F093FED"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Male</w:t>
            </w:r>
          </w:p>
        </w:tc>
        <w:tc>
          <w:tcPr>
            <w:tcW w:w="2430" w:type="dxa"/>
            <w:vAlign w:val="center"/>
          </w:tcPr>
          <w:p w14:paraId="70E61D6B"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21</w:t>
            </w:r>
          </w:p>
        </w:tc>
        <w:tc>
          <w:tcPr>
            <w:tcW w:w="2340" w:type="dxa"/>
            <w:vAlign w:val="center"/>
          </w:tcPr>
          <w:p w14:paraId="47038629"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25.9%</w:t>
            </w:r>
          </w:p>
        </w:tc>
      </w:tr>
      <w:tr w:rsidR="00331399" w:rsidRPr="003D3862" w14:paraId="3BE36A41" w14:textId="77777777" w:rsidTr="009D3E20">
        <w:tc>
          <w:tcPr>
            <w:tcW w:w="3353" w:type="dxa"/>
            <w:vAlign w:val="center"/>
          </w:tcPr>
          <w:p w14:paraId="17EB802E" w14:textId="77777777" w:rsidR="00331399" w:rsidRPr="003D3862" w:rsidRDefault="00331399" w:rsidP="00331399">
            <w:pPr>
              <w:autoSpaceDE w:val="0"/>
              <w:autoSpaceDN w:val="0"/>
              <w:adjustRightInd w:val="0"/>
              <w:spacing w:after="0" w:line="240" w:lineRule="auto"/>
              <w:ind w:left="60" w:right="60"/>
              <w:rPr>
                <w:rFonts w:cs="Times New Roman"/>
                <w:b/>
                <w:szCs w:val="24"/>
              </w:rPr>
            </w:pPr>
            <w:r w:rsidRPr="003D3862">
              <w:rPr>
                <w:rFonts w:cs="Times New Roman"/>
                <w:bCs/>
                <w:szCs w:val="24"/>
              </w:rPr>
              <w:t>Female</w:t>
            </w:r>
          </w:p>
        </w:tc>
        <w:tc>
          <w:tcPr>
            <w:tcW w:w="2430" w:type="dxa"/>
            <w:vAlign w:val="center"/>
          </w:tcPr>
          <w:p w14:paraId="40A11DE2"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60</w:t>
            </w:r>
          </w:p>
        </w:tc>
        <w:tc>
          <w:tcPr>
            <w:tcW w:w="2340" w:type="dxa"/>
            <w:vAlign w:val="center"/>
          </w:tcPr>
          <w:p w14:paraId="00043149"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74.1%</w:t>
            </w:r>
          </w:p>
        </w:tc>
      </w:tr>
      <w:tr w:rsidR="00331399" w:rsidRPr="003D3862" w14:paraId="6B30F671" w14:textId="77777777" w:rsidTr="009D3E20">
        <w:tc>
          <w:tcPr>
            <w:tcW w:w="3353" w:type="dxa"/>
          </w:tcPr>
          <w:p w14:paraId="1E7003F4" w14:textId="77777777" w:rsidR="00331399" w:rsidRPr="003D3862" w:rsidRDefault="00331399" w:rsidP="00331399">
            <w:pPr>
              <w:autoSpaceDE w:val="0"/>
              <w:autoSpaceDN w:val="0"/>
              <w:adjustRightInd w:val="0"/>
              <w:spacing w:after="0" w:line="240" w:lineRule="auto"/>
              <w:ind w:left="60" w:right="60"/>
              <w:rPr>
                <w:rFonts w:cs="Times New Roman"/>
                <w:b/>
                <w:i/>
                <w:iCs/>
                <w:szCs w:val="24"/>
              </w:rPr>
            </w:pPr>
            <w:r w:rsidRPr="003D3862">
              <w:rPr>
                <w:rFonts w:cs="Times New Roman"/>
                <w:b/>
                <w:i/>
                <w:iCs/>
                <w:szCs w:val="24"/>
              </w:rPr>
              <w:t>Total</w:t>
            </w:r>
          </w:p>
        </w:tc>
        <w:tc>
          <w:tcPr>
            <w:tcW w:w="2430" w:type="dxa"/>
          </w:tcPr>
          <w:p w14:paraId="4A545BCA" w14:textId="77777777" w:rsidR="00331399" w:rsidRPr="003D3862" w:rsidRDefault="00331399" w:rsidP="00331399">
            <w:pPr>
              <w:autoSpaceDE w:val="0"/>
              <w:autoSpaceDN w:val="0"/>
              <w:adjustRightInd w:val="0"/>
              <w:spacing w:after="0" w:line="240" w:lineRule="auto"/>
              <w:ind w:left="60" w:right="60"/>
              <w:rPr>
                <w:rFonts w:cs="Times New Roman"/>
                <w:b/>
                <w:szCs w:val="24"/>
              </w:rPr>
            </w:pPr>
            <w:r w:rsidRPr="003D3862">
              <w:rPr>
                <w:rFonts w:cs="Times New Roman"/>
                <w:b/>
                <w:szCs w:val="24"/>
              </w:rPr>
              <w:t>81</w:t>
            </w:r>
          </w:p>
        </w:tc>
        <w:tc>
          <w:tcPr>
            <w:tcW w:w="2340" w:type="dxa"/>
          </w:tcPr>
          <w:p w14:paraId="21523E69" w14:textId="77777777" w:rsidR="00331399" w:rsidRPr="003D3862" w:rsidRDefault="00331399" w:rsidP="00331399">
            <w:pPr>
              <w:autoSpaceDE w:val="0"/>
              <w:autoSpaceDN w:val="0"/>
              <w:adjustRightInd w:val="0"/>
              <w:spacing w:after="0" w:line="240" w:lineRule="auto"/>
              <w:ind w:left="60" w:right="60"/>
              <w:rPr>
                <w:rFonts w:cs="Times New Roman"/>
                <w:b/>
                <w:szCs w:val="24"/>
              </w:rPr>
            </w:pPr>
            <w:r w:rsidRPr="003D3862">
              <w:rPr>
                <w:rFonts w:cs="Times New Roman"/>
                <w:b/>
                <w:szCs w:val="24"/>
              </w:rPr>
              <w:t>100</w:t>
            </w:r>
            <w:r w:rsidRPr="003D3862">
              <w:rPr>
                <w:rFonts w:cs="Times New Roman"/>
                <w:szCs w:val="24"/>
              </w:rPr>
              <w:t>%</w:t>
            </w:r>
          </w:p>
        </w:tc>
      </w:tr>
      <w:tr w:rsidR="00331399" w:rsidRPr="003D3862" w14:paraId="3E435696" w14:textId="77777777" w:rsidTr="009D3E20">
        <w:tc>
          <w:tcPr>
            <w:tcW w:w="8123" w:type="dxa"/>
            <w:gridSpan w:val="3"/>
            <w:vAlign w:val="center"/>
          </w:tcPr>
          <w:p w14:paraId="506B4503"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b/>
                <w:bCs/>
                <w:szCs w:val="24"/>
              </w:rPr>
              <w:t>Educational Qualification</w:t>
            </w:r>
          </w:p>
        </w:tc>
      </w:tr>
      <w:tr w:rsidR="00331399" w:rsidRPr="003D3862" w14:paraId="0B4C4DFF" w14:textId="77777777" w:rsidTr="009D3E20">
        <w:tc>
          <w:tcPr>
            <w:tcW w:w="3353" w:type="dxa"/>
            <w:vAlign w:val="center"/>
          </w:tcPr>
          <w:p w14:paraId="385D91CF"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SSCE</w:t>
            </w:r>
          </w:p>
        </w:tc>
        <w:tc>
          <w:tcPr>
            <w:tcW w:w="2430" w:type="dxa"/>
            <w:vAlign w:val="center"/>
          </w:tcPr>
          <w:p w14:paraId="78AF7974"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7</w:t>
            </w:r>
          </w:p>
        </w:tc>
        <w:tc>
          <w:tcPr>
            <w:tcW w:w="2340" w:type="dxa"/>
            <w:vAlign w:val="center"/>
          </w:tcPr>
          <w:p w14:paraId="7ED34D60"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8.6%</w:t>
            </w:r>
          </w:p>
        </w:tc>
      </w:tr>
      <w:tr w:rsidR="00331399" w:rsidRPr="003D3862" w14:paraId="2465ADDC" w14:textId="77777777" w:rsidTr="009D3E20">
        <w:tc>
          <w:tcPr>
            <w:tcW w:w="3353" w:type="dxa"/>
            <w:vAlign w:val="center"/>
          </w:tcPr>
          <w:p w14:paraId="0958D554"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NCE/OND</w:t>
            </w:r>
          </w:p>
        </w:tc>
        <w:tc>
          <w:tcPr>
            <w:tcW w:w="2430" w:type="dxa"/>
            <w:vAlign w:val="center"/>
          </w:tcPr>
          <w:p w14:paraId="2FFCB901"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48</w:t>
            </w:r>
          </w:p>
        </w:tc>
        <w:tc>
          <w:tcPr>
            <w:tcW w:w="2340" w:type="dxa"/>
            <w:vAlign w:val="center"/>
          </w:tcPr>
          <w:p w14:paraId="0D522BC4"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59.2%</w:t>
            </w:r>
          </w:p>
        </w:tc>
      </w:tr>
      <w:tr w:rsidR="00331399" w:rsidRPr="003D3862" w14:paraId="4C9237C0" w14:textId="77777777" w:rsidTr="009D3E20">
        <w:tc>
          <w:tcPr>
            <w:tcW w:w="3353" w:type="dxa"/>
            <w:vAlign w:val="center"/>
          </w:tcPr>
          <w:p w14:paraId="6BCB987A" w14:textId="77777777" w:rsidR="00331399" w:rsidRPr="003D3862" w:rsidRDefault="00331399" w:rsidP="00331399">
            <w:pPr>
              <w:autoSpaceDE w:val="0"/>
              <w:autoSpaceDN w:val="0"/>
              <w:adjustRightInd w:val="0"/>
              <w:spacing w:after="0" w:line="240" w:lineRule="auto"/>
              <w:ind w:left="60" w:right="60"/>
              <w:rPr>
                <w:rFonts w:cs="Times New Roman"/>
                <w:b/>
                <w:bCs/>
                <w:szCs w:val="24"/>
              </w:rPr>
            </w:pPr>
            <w:r w:rsidRPr="003D3862">
              <w:rPr>
                <w:rFonts w:cs="Times New Roman"/>
                <w:szCs w:val="24"/>
              </w:rPr>
              <w:t>BSc. /HND</w:t>
            </w:r>
          </w:p>
        </w:tc>
        <w:tc>
          <w:tcPr>
            <w:tcW w:w="2430" w:type="dxa"/>
            <w:vAlign w:val="center"/>
          </w:tcPr>
          <w:p w14:paraId="7CA56C10" w14:textId="77777777" w:rsidR="00331399" w:rsidRPr="003D3862" w:rsidRDefault="00331399" w:rsidP="00331399">
            <w:pPr>
              <w:autoSpaceDE w:val="0"/>
              <w:autoSpaceDN w:val="0"/>
              <w:adjustRightInd w:val="0"/>
              <w:spacing w:after="0" w:line="240" w:lineRule="auto"/>
              <w:ind w:left="60" w:right="60"/>
              <w:rPr>
                <w:rFonts w:cs="Times New Roman"/>
                <w:b/>
                <w:bCs/>
                <w:szCs w:val="24"/>
              </w:rPr>
            </w:pPr>
            <w:r w:rsidRPr="003D3862">
              <w:rPr>
                <w:rFonts w:cs="Times New Roman"/>
                <w:szCs w:val="24"/>
              </w:rPr>
              <w:t>21</w:t>
            </w:r>
          </w:p>
        </w:tc>
        <w:tc>
          <w:tcPr>
            <w:tcW w:w="2340" w:type="dxa"/>
            <w:vAlign w:val="center"/>
          </w:tcPr>
          <w:p w14:paraId="712FA9CE" w14:textId="77777777" w:rsidR="00331399" w:rsidRPr="003D3862" w:rsidRDefault="00331399" w:rsidP="00331399">
            <w:pPr>
              <w:autoSpaceDE w:val="0"/>
              <w:autoSpaceDN w:val="0"/>
              <w:adjustRightInd w:val="0"/>
              <w:spacing w:after="0" w:line="240" w:lineRule="auto"/>
              <w:ind w:left="60" w:right="60"/>
              <w:rPr>
                <w:rFonts w:cs="Times New Roman"/>
                <w:b/>
                <w:bCs/>
                <w:szCs w:val="24"/>
              </w:rPr>
            </w:pPr>
            <w:r w:rsidRPr="003D3862">
              <w:rPr>
                <w:rFonts w:cs="Times New Roman"/>
                <w:szCs w:val="24"/>
              </w:rPr>
              <w:t>26%</w:t>
            </w:r>
          </w:p>
        </w:tc>
      </w:tr>
      <w:tr w:rsidR="00331399" w:rsidRPr="003D3862" w14:paraId="37A0388D" w14:textId="77777777" w:rsidTr="009D3E20">
        <w:tc>
          <w:tcPr>
            <w:tcW w:w="3353" w:type="dxa"/>
            <w:vAlign w:val="center"/>
          </w:tcPr>
          <w:p w14:paraId="20719A97"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MSc.</w:t>
            </w:r>
          </w:p>
        </w:tc>
        <w:tc>
          <w:tcPr>
            <w:tcW w:w="2430" w:type="dxa"/>
            <w:vAlign w:val="center"/>
          </w:tcPr>
          <w:p w14:paraId="41446487"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5</w:t>
            </w:r>
          </w:p>
        </w:tc>
        <w:tc>
          <w:tcPr>
            <w:tcW w:w="2340" w:type="dxa"/>
            <w:vAlign w:val="center"/>
          </w:tcPr>
          <w:p w14:paraId="77D1686E"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6.2%</w:t>
            </w:r>
          </w:p>
        </w:tc>
      </w:tr>
      <w:tr w:rsidR="00331399" w:rsidRPr="003D3862" w14:paraId="0C7674CC" w14:textId="77777777" w:rsidTr="009D3E20">
        <w:tc>
          <w:tcPr>
            <w:tcW w:w="3353" w:type="dxa"/>
            <w:vAlign w:val="center"/>
          </w:tcPr>
          <w:p w14:paraId="18A644FA" w14:textId="77777777" w:rsidR="00331399" w:rsidRPr="003D3862" w:rsidRDefault="00331399" w:rsidP="00331399">
            <w:pPr>
              <w:autoSpaceDE w:val="0"/>
              <w:autoSpaceDN w:val="0"/>
              <w:adjustRightInd w:val="0"/>
              <w:spacing w:after="0" w:line="240" w:lineRule="auto"/>
              <w:ind w:left="60" w:right="60"/>
              <w:rPr>
                <w:rFonts w:cs="Times New Roman"/>
                <w:b/>
                <w:bCs/>
                <w:i/>
                <w:iCs/>
                <w:szCs w:val="24"/>
              </w:rPr>
            </w:pPr>
            <w:r w:rsidRPr="003D3862">
              <w:rPr>
                <w:rFonts w:cs="Times New Roman"/>
                <w:b/>
                <w:bCs/>
                <w:i/>
                <w:iCs/>
                <w:szCs w:val="24"/>
              </w:rPr>
              <w:t xml:space="preserve">Total </w:t>
            </w:r>
          </w:p>
        </w:tc>
        <w:tc>
          <w:tcPr>
            <w:tcW w:w="2430" w:type="dxa"/>
            <w:vAlign w:val="center"/>
          </w:tcPr>
          <w:p w14:paraId="3DB0F6CC" w14:textId="77777777" w:rsidR="00331399" w:rsidRPr="003D3862" w:rsidRDefault="00331399" w:rsidP="00331399">
            <w:pPr>
              <w:autoSpaceDE w:val="0"/>
              <w:autoSpaceDN w:val="0"/>
              <w:adjustRightInd w:val="0"/>
              <w:spacing w:after="0" w:line="240" w:lineRule="auto"/>
              <w:ind w:left="60" w:right="60"/>
              <w:rPr>
                <w:rFonts w:cs="Times New Roman"/>
                <w:b/>
                <w:szCs w:val="24"/>
              </w:rPr>
            </w:pPr>
            <w:r w:rsidRPr="003D3862">
              <w:rPr>
                <w:rFonts w:cs="Times New Roman"/>
                <w:b/>
                <w:szCs w:val="24"/>
              </w:rPr>
              <w:t>81</w:t>
            </w:r>
          </w:p>
        </w:tc>
        <w:tc>
          <w:tcPr>
            <w:tcW w:w="2340" w:type="dxa"/>
            <w:vAlign w:val="center"/>
          </w:tcPr>
          <w:p w14:paraId="48F8D0FE" w14:textId="77777777" w:rsidR="00331399" w:rsidRPr="003D3862" w:rsidRDefault="00331399" w:rsidP="00331399">
            <w:pPr>
              <w:autoSpaceDE w:val="0"/>
              <w:autoSpaceDN w:val="0"/>
              <w:adjustRightInd w:val="0"/>
              <w:spacing w:after="0" w:line="240" w:lineRule="auto"/>
              <w:ind w:left="60" w:right="60"/>
              <w:rPr>
                <w:rFonts w:cs="Times New Roman"/>
                <w:b/>
                <w:szCs w:val="24"/>
              </w:rPr>
            </w:pPr>
            <w:r w:rsidRPr="003D3862">
              <w:rPr>
                <w:rFonts w:cs="Times New Roman"/>
                <w:b/>
                <w:bCs/>
                <w:szCs w:val="24"/>
              </w:rPr>
              <w:t>100</w:t>
            </w:r>
            <w:r w:rsidRPr="003D3862">
              <w:rPr>
                <w:rFonts w:cs="Times New Roman"/>
                <w:szCs w:val="24"/>
              </w:rPr>
              <w:t>%</w:t>
            </w:r>
          </w:p>
        </w:tc>
      </w:tr>
      <w:tr w:rsidR="00331399" w:rsidRPr="003D3862" w14:paraId="2E1D7868" w14:textId="77777777" w:rsidTr="009D3E20">
        <w:tc>
          <w:tcPr>
            <w:tcW w:w="8123" w:type="dxa"/>
            <w:gridSpan w:val="3"/>
            <w:vAlign w:val="center"/>
          </w:tcPr>
          <w:p w14:paraId="376B6564" w14:textId="77777777" w:rsidR="00331399" w:rsidRPr="003D3862" w:rsidRDefault="00331399" w:rsidP="00331399">
            <w:pPr>
              <w:autoSpaceDE w:val="0"/>
              <w:autoSpaceDN w:val="0"/>
              <w:adjustRightInd w:val="0"/>
              <w:spacing w:after="0" w:line="240" w:lineRule="auto"/>
              <w:ind w:left="60" w:right="60"/>
              <w:rPr>
                <w:rFonts w:cs="Times New Roman"/>
                <w:szCs w:val="24"/>
              </w:rPr>
            </w:pPr>
            <w:bookmarkStart w:id="3" w:name="_Hlk146166507"/>
            <w:r w:rsidRPr="003D3862">
              <w:rPr>
                <w:rFonts w:cs="Times New Roman"/>
                <w:b/>
                <w:bCs/>
                <w:szCs w:val="24"/>
              </w:rPr>
              <w:t>Year of Business</w:t>
            </w:r>
            <w:bookmarkEnd w:id="3"/>
            <w:r w:rsidRPr="003D3862">
              <w:rPr>
                <w:rFonts w:cs="Times New Roman"/>
                <w:b/>
                <w:bCs/>
                <w:szCs w:val="24"/>
              </w:rPr>
              <w:t xml:space="preserve"> Experience</w:t>
            </w:r>
          </w:p>
        </w:tc>
      </w:tr>
      <w:tr w:rsidR="00331399" w:rsidRPr="003D3862" w14:paraId="10EC3A1D" w14:textId="77777777" w:rsidTr="009D3E20">
        <w:tc>
          <w:tcPr>
            <w:tcW w:w="3353" w:type="dxa"/>
            <w:vAlign w:val="center"/>
          </w:tcPr>
          <w:p w14:paraId="3BA107C5"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1-5 Years</w:t>
            </w:r>
          </w:p>
        </w:tc>
        <w:tc>
          <w:tcPr>
            <w:tcW w:w="2430" w:type="dxa"/>
            <w:vAlign w:val="center"/>
          </w:tcPr>
          <w:p w14:paraId="2BB3F02D"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44</w:t>
            </w:r>
          </w:p>
        </w:tc>
        <w:tc>
          <w:tcPr>
            <w:tcW w:w="2340" w:type="dxa"/>
            <w:vAlign w:val="center"/>
          </w:tcPr>
          <w:p w14:paraId="3111BF7F"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54.3%</w:t>
            </w:r>
          </w:p>
        </w:tc>
      </w:tr>
      <w:tr w:rsidR="00331399" w:rsidRPr="003D3862" w14:paraId="4C1F385F" w14:textId="77777777" w:rsidTr="009D3E20">
        <w:trPr>
          <w:trHeight w:val="166"/>
        </w:trPr>
        <w:tc>
          <w:tcPr>
            <w:tcW w:w="3353" w:type="dxa"/>
            <w:tcBorders>
              <w:bottom w:val="single" w:sz="4" w:space="0" w:color="auto"/>
            </w:tcBorders>
            <w:vAlign w:val="center"/>
          </w:tcPr>
          <w:p w14:paraId="517E2F3E" w14:textId="77777777" w:rsidR="00331399" w:rsidRPr="003D3862" w:rsidRDefault="00331399" w:rsidP="00331399">
            <w:pPr>
              <w:autoSpaceDE w:val="0"/>
              <w:autoSpaceDN w:val="0"/>
              <w:adjustRightInd w:val="0"/>
              <w:spacing w:after="0" w:line="240" w:lineRule="auto"/>
              <w:ind w:left="60" w:right="60"/>
              <w:rPr>
                <w:rFonts w:cs="Times New Roman"/>
                <w:b/>
                <w:bCs/>
                <w:szCs w:val="24"/>
              </w:rPr>
            </w:pPr>
            <w:r w:rsidRPr="003D3862">
              <w:rPr>
                <w:rFonts w:cs="Times New Roman"/>
                <w:szCs w:val="24"/>
              </w:rPr>
              <w:t>6-10 Years</w:t>
            </w:r>
          </w:p>
        </w:tc>
        <w:tc>
          <w:tcPr>
            <w:tcW w:w="2430" w:type="dxa"/>
            <w:tcBorders>
              <w:bottom w:val="single" w:sz="4" w:space="0" w:color="auto"/>
            </w:tcBorders>
            <w:vAlign w:val="center"/>
          </w:tcPr>
          <w:p w14:paraId="70E74D04"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26</w:t>
            </w:r>
          </w:p>
        </w:tc>
        <w:tc>
          <w:tcPr>
            <w:tcW w:w="2340" w:type="dxa"/>
            <w:tcBorders>
              <w:bottom w:val="single" w:sz="4" w:space="0" w:color="auto"/>
            </w:tcBorders>
            <w:vAlign w:val="center"/>
          </w:tcPr>
          <w:p w14:paraId="74827714"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32.1%</w:t>
            </w:r>
          </w:p>
        </w:tc>
      </w:tr>
      <w:tr w:rsidR="00331399" w:rsidRPr="003D3862" w14:paraId="6B0E1489" w14:textId="77777777" w:rsidTr="009D3E20">
        <w:trPr>
          <w:trHeight w:val="152"/>
        </w:trPr>
        <w:tc>
          <w:tcPr>
            <w:tcW w:w="3353" w:type="dxa"/>
            <w:tcBorders>
              <w:top w:val="single" w:sz="4" w:space="0" w:color="auto"/>
              <w:bottom w:val="single" w:sz="4" w:space="0" w:color="auto"/>
            </w:tcBorders>
            <w:vAlign w:val="center"/>
          </w:tcPr>
          <w:p w14:paraId="64C262F6"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11-15 years</w:t>
            </w:r>
          </w:p>
        </w:tc>
        <w:tc>
          <w:tcPr>
            <w:tcW w:w="2430" w:type="dxa"/>
            <w:tcBorders>
              <w:top w:val="single" w:sz="4" w:space="0" w:color="auto"/>
              <w:bottom w:val="single" w:sz="4" w:space="0" w:color="auto"/>
            </w:tcBorders>
            <w:vAlign w:val="center"/>
          </w:tcPr>
          <w:p w14:paraId="105B5807" w14:textId="77777777" w:rsidR="00331399" w:rsidRPr="003D3862" w:rsidRDefault="00331399" w:rsidP="00331399">
            <w:pPr>
              <w:autoSpaceDE w:val="0"/>
              <w:autoSpaceDN w:val="0"/>
              <w:adjustRightInd w:val="0"/>
              <w:spacing w:after="0" w:line="240" w:lineRule="auto"/>
              <w:ind w:left="60" w:right="60"/>
              <w:rPr>
                <w:rFonts w:cs="Times New Roman"/>
                <w:b/>
                <w:bCs/>
                <w:szCs w:val="24"/>
              </w:rPr>
            </w:pPr>
            <w:r w:rsidRPr="003D3862">
              <w:rPr>
                <w:rFonts w:cs="Times New Roman"/>
                <w:szCs w:val="24"/>
              </w:rPr>
              <w:t>10</w:t>
            </w:r>
          </w:p>
        </w:tc>
        <w:tc>
          <w:tcPr>
            <w:tcW w:w="2340" w:type="dxa"/>
            <w:tcBorders>
              <w:top w:val="single" w:sz="4" w:space="0" w:color="auto"/>
              <w:bottom w:val="single" w:sz="4" w:space="0" w:color="auto"/>
            </w:tcBorders>
            <w:vAlign w:val="center"/>
          </w:tcPr>
          <w:p w14:paraId="1B4CC429" w14:textId="77777777" w:rsidR="00331399" w:rsidRPr="003D3862" w:rsidRDefault="00331399" w:rsidP="00331399">
            <w:pPr>
              <w:autoSpaceDE w:val="0"/>
              <w:autoSpaceDN w:val="0"/>
              <w:adjustRightInd w:val="0"/>
              <w:spacing w:after="0" w:line="240" w:lineRule="auto"/>
              <w:ind w:left="60" w:right="60"/>
              <w:rPr>
                <w:rFonts w:cs="Times New Roman"/>
                <w:b/>
                <w:bCs/>
                <w:szCs w:val="24"/>
              </w:rPr>
            </w:pPr>
            <w:r w:rsidRPr="003D3862">
              <w:rPr>
                <w:rFonts w:cs="Times New Roman"/>
                <w:szCs w:val="24"/>
              </w:rPr>
              <w:t>12.3%</w:t>
            </w:r>
          </w:p>
        </w:tc>
      </w:tr>
      <w:tr w:rsidR="00331399" w:rsidRPr="003D3862" w14:paraId="11E8BE5F" w14:textId="77777777" w:rsidTr="009D3E20">
        <w:trPr>
          <w:trHeight w:val="140"/>
        </w:trPr>
        <w:tc>
          <w:tcPr>
            <w:tcW w:w="3353" w:type="dxa"/>
            <w:tcBorders>
              <w:top w:val="single" w:sz="4" w:space="0" w:color="auto"/>
              <w:bottom w:val="single" w:sz="4" w:space="0" w:color="auto"/>
            </w:tcBorders>
            <w:vAlign w:val="center"/>
          </w:tcPr>
          <w:p w14:paraId="1636BC17"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Over 15 Years</w:t>
            </w:r>
          </w:p>
        </w:tc>
        <w:tc>
          <w:tcPr>
            <w:tcW w:w="2430" w:type="dxa"/>
            <w:tcBorders>
              <w:top w:val="single" w:sz="4" w:space="0" w:color="auto"/>
              <w:bottom w:val="single" w:sz="4" w:space="0" w:color="auto"/>
            </w:tcBorders>
            <w:vAlign w:val="center"/>
          </w:tcPr>
          <w:p w14:paraId="4CDA7C9F"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1</w:t>
            </w:r>
          </w:p>
        </w:tc>
        <w:tc>
          <w:tcPr>
            <w:tcW w:w="2340" w:type="dxa"/>
            <w:tcBorders>
              <w:top w:val="single" w:sz="4" w:space="0" w:color="auto"/>
              <w:bottom w:val="single" w:sz="4" w:space="0" w:color="auto"/>
            </w:tcBorders>
            <w:vAlign w:val="center"/>
          </w:tcPr>
          <w:p w14:paraId="74EBB76D" w14:textId="77777777" w:rsidR="00331399" w:rsidRPr="003D3862" w:rsidRDefault="00331399" w:rsidP="00331399">
            <w:pPr>
              <w:autoSpaceDE w:val="0"/>
              <w:autoSpaceDN w:val="0"/>
              <w:adjustRightInd w:val="0"/>
              <w:spacing w:after="0" w:line="240" w:lineRule="auto"/>
              <w:ind w:left="60" w:right="60"/>
              <w:rPr>
                <w:rFonts w:cs="Times New Roman"/>
                <w:szCs w:val="24"/>
              </w:rPr>
            </w:pPr>
            <w:r w:rsidRPr="003D3862">
              <w:rPr>
                <w:rFonts w:cs="Times New Roman"/>
                <w:szCs w:val="24"/>
              </w:rPr>
              <w:t>1.2%</w:t>
            </w:r>
          </w:p>
        </w:tc>
      </w:tr>
      <w:tr w:rsidR="00331399" w:rsidRPr="003D3862" w14:paraId="48469C7E" w14:textId="77777777" w:rsidTr="009D3E20">
        <w:trPr>
          <w:trHeight w:val="166"/>
        </w:trPr>
        <w:tc>
          <w:tcPr>
            <w:tcW w:w="3353" w:type="dxa"/>
            <w:tcBorders>
              <w:top w:val="single" w:sz="4" w:space="0" w:color="auto"/>
            </w:tcBorders>
            <w:vAlign w:val="center"/>
          </w:tcPr>
          <w:p w14:paraId="28DBFA09" w14:textId="77777777" w:rsidR="00331399" w:rsidRPr="003D3862" w:rsidRDefault="00331399" w:rsidP="00331399">
            <w:pPr>
              <w:autoSpaceDE w:val="0"/>
              <w:autoSpaceDN w:val="0"/>
              <w:adjustRightInd w:val="0"/>
              <w:spacing w:after="0" w:line="240" w:lineRule="auto"/>
              <w:ind w:left="60" w:right="60"/>
              <w:rPr>
                <w:rFonts w:cs="Times New Roman"/>
                <w:i/>
                <w:iCs/>
                <w:szCs w:val="24"/>
              </w:rPr>
            </w:pPr>
            <w:r w:rsidRPr="003D3862">
              <w:rPr>
                <w:rFonts w:cs="Times New Roman"/>
                <w:i/>
                <w:iCs/>
                <w:szCs w:val="24"/>
              </w:rPr>
              <w:t>Total</w:t>
            </w:r>
          </w:p>
        </w:tc>
        <w:tc>
          <w:tcPr>
            <w:tcW w:w="2430" w:type="dxa"/>
            <w:tcBorders>
              <w:top w:val="single" w:sz="4" w:space="0" w:color="auto"/>
            </w:tcBorders>
            <w:vAlign w:val="center"/>
          </w:tcPr>
          <w:p w14:paraId="1A13F59A" w14:textId="77777777" w:rsidR="00331399" w:rsidRPr="003D3862" w:rsidRDefault="00331399" w:rsidP="00331399">
            <w:pPr>
              <w:autoSpaceDE w:val="0"/>
              <w:autoSpaceDN w:val="0"/>
              <w:adjustRightInd w:val="0"/>
              <w:spacing w:after="0" w:line="240" w:lineRule="auto"/>
              <w:ind w:left="60" w:right="60"/>
              <w:rPr>
                <w:rFonts w:cs="Times New Roman"/>
                <w:b/>
                <w:szCs w:val="24"/>
              </w:rPr>
            </w:pPr>
            <w:r w:rsidRPr="003D3862">
              <w:rPr>
                <w:rFonts w:cs="Times New Roman"/>
                <w:b/>
                <w:bCs/>
                <w:szCs w:val="24"/>
              </w:rPr>
              <w:t>81</w:t>
            </w:r>
          </w:p>
        </w:tc>
        <w:tc>
          <w:tcPr>
            <w:tcW w:w="2340" w:type="dxa"/>
            <w:tcBorders>
              <w:top w:val="single" w:sz="4" w:space="0" w:color="auto"/>
            </w:tcBorders>
            <w:vAlign w:val="center"/>
          </w:tcPr>
          <w:p w14:paraId="0AC1CF9E" w14:textId="77777777" w:rsidR="00331399" w:rsidRPr="003D3862" w:rsidRDefault="00331399" w:rsidP="00331399">
            <w:pPr>
              <w:autoSpaceDE w:val="0"/>
              <w:autoSpaceDN w:val="0"/>
              <w:adjustRightInd w:val="0"/>
              <w:spacing w:after="0" w:line="240" w:lineRule="auto"/>
              <w:ind w:left="60" w:right="60"/>
              <w:rPr>
                <w:rFonts w:cs="Times New Roman"/>
                <w:b/>
                <w:szCs w:val="24"/>
              </w:rPr>
            </w:pPr>
            <w:r w:rsidRPr="003D3862">
              <w:rPr>
                <w:rFonts w:cs="Times New Roman"/>
                <w:b/>
                <w:bCs/>
                <w:szCs w:val="24"/>
              </w:rPr>
              <w:t>100</w:t>
            </w:r>
            <w:r w:rsidRPr="003D3862">
              <w:rPr>
                <w:rFonts w:cs="Times New Roman"/>
                <w:szCs w:val="24"/>
              </w:rPr>
              <w:t>%</w:t>
            </w:r>
          </w:p>
        </w:tc>
      </w:tr>
    </w:tbl>
    <w:p w14:paraId="57EE5B2C" w14:textId="77777777" w:rsidR="00331399" w:rsidRPr="003D3862" w:rsidRDefault="00331399" w:rsidP="00331399">
      <w:pPr>
        <w:spacing w:after="0" w:line="240" w:lineRule="auto"/>
        <w:rPr>
          <w:rFonts w:cs="Times New Roman"/>
          <w:szCs w:val="24"/>
        </w:rPr>
      </w:pPr>
      <w:bookmarkStart w:id="4" w:name="_Hlk146131448"/>
      <w:r w:rsidRPr="003D3862">
        <w:rPr>
          <w:rFonts w:cs="Times New Roman"/>
          <w:szCs w:val="24"/>
        </w:rPr>
        <w:t>Source: Field Survey, 2025</w:t>
      </w:r>
    </w:p>
    <w:bookmarkEnd w:id="2"/>
    <w:bookmarkEnd w:id="4"/>
    <w:p w14:paraId="6E2C992C" w14:textId="77777777" w:rsidR="00331399" w:rsidRPr="003D3862" w:rsidRDefault="00331399" w:rsidP="00331399">
      <w:pPr>
        <w:spacing w:line="240" w:lineRule="auto"/>
        <w:rPr>
          <w:rFonts w:cs="Times New Roman"/>
          <w:szCs w:val="24"/>
        </w:rPr>
      </w:pPr>
      <w:r w:rsidRPr="003D3862">
        <w:rPr>
          <w:rFonts w:cs="Times New Roman"/>
          <w:szCs w:val="24"/>
        </w:rPr>
        <w:t xml:space="preserve">The demographic data of the respondents in Table 1 reflects a diverse distribution across age, gender, education, and business experience. In terms of age, the majority fall within the 41–60 years range, with 29.6% aged 41–50 years and 33.3% aged 51–60 years, indicating that most respondents are mature adults likely possessing considerable life and work experience. Only a small fraction (4.9%) is in the 20–30 years range, while 6.2% are above 60 years, suggesting </w:t>
      </w:r>
      <w:r w:rsidRPr="003D3862">
        <w:rPr>
          <w:rFonts w:cs="Times New Roman"/>
          <w:szCs w:val="24"/>
        </w:rPr>
        <w:lastRenderedPageBreak/>
        <w:t xml:space="preserve">limited input from younger or elderly individuals. Gender distribution is skewed, with females making up 74.1% of the respondents compared to 25.9% males, pointing to a female-dominated sample which may influence the perspectives reflected in the findings. Educational qualifications show that a majority (59.2%) hold NCE/OND certificates, followed by 26% with BSc. /HND degrees, while 8.6% have SSCE and only 6.2% possess MSc degrees, suggesting that most respondents have mid-level education. Regarding business experience, a significant proportion (54.3%) have operated their businesses for 1–5 years, and 32.1% for 6–10 years, indicating a predominantly early-to-mid stage business population. Only a few (1.2%) have over 15 years of experience, which implies that long-term business expertise is rare among the respondents. </w:t>
      </w:r>
    </w:p>
    <w:p w14:paraId="3FFD264B" w14:textId="77777777" w:rsidR="00331399" w:rsidRPr="003D3862" w:rsidRDefault="00331399" w:rsidP="00331399">
      <w:pPr>
        <w:pStyle w:val="ListParagraph"/>
        <w:numPr>
          <w:ilvl w:val="1"/>
          <w:numId w:val="1"/>
        </w:numPr>
        <w:spacing w:line="240" w:lineRule="auto"/>
        <w:rPr>
          <w:rFonts w:cs="Times New Roman"/>
          <w:b/>
          <w:bCs/>
          <w:szCs w:val="24"/>
        </w:rPr>
      </w:pPr>
      <w:r>
        <w:rPr>
          <w:rFonts w:cs="Times New Roman"/>
          <w:b/>
          <w:bCs/>
          <w:szCs w:val="24"/>
        </w:rPr>
        <w:t xml:space="preserve"> </w:t>
      </w:r>
      <w:r w:rsidRPr="003D3862">
        <w:rPr>
          <w:rFonts w:cs="Times New Roman"/>
          <w:b/>
          <w:bCs/>
          <w:szCs w:val="24"/>
        </w:rPr>
        <w:t>Hypothesis Testing</w:t>
      </w:r>
    </w:p>
    <w:p w14:paraId="6DB2E814" w14:textId="77777777" w:rsidR="00331399" w:rsidRPr="003D3862" w:rsidRDefault="00331399" w:rsidP="00331399">
      <w:pPr>
        <w:spacing w:line="240" w:lineRule="auto"/>
        <w:rPr>
          <w:rFonts w:cs="Times New Roman"/>
          <w:szCs w:val="24"/>
        </w:rPr>
      </w:pPr>
      <w:r w:rsidRPr="003D3862">
        <w:rPr>
          <w:rFonts w:cs="Times New Roman"/>
          <w:szCs w:val="24"/>
        </w:rPr>
        <w:t xml:space="preserve">H0: Fair business practice does not have a significant relationship with supply chain sustainability of selected petrol stations in Ibadan, </w:t>
      </w:r>
      <w:r>
        <w:rPr>
          <w:rFonts w:cs="Times New Roman"/>
          <w:szCs w:val="24"/>
        </w:rPr>
        <w:t>Nigeria</w:t>
      </w:r>
    </w:p>
    <w:p w14:paraId="037E497F" w14:textId="77777777" w:rsidR="00331399" w:rsidRPr="003D3862" w:rsidRDefault="00331399" w:rsidP="00331399">
      <w:pPr>
        <w:spacing w:line="240" w:lineRule="auto"/>
        <w:rPr>
          <w:rFonts w:cs="Times New Roman"/>
          <w:szCs w:val="24"/>
        </w:rPr>
      </w:pPr>
      <w:r w:rsidRPr="003D3862">
        <w:rPr>
          <w:rFonts w:cs="Times New Roman"/>
          <w:szCs w:val="24"/>
        </w:rPr>
        <w:t>Table 2: Showing the relationship between fair business practice and supply-chain sustainability</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3"/>
        <w:gridCol w:w="1116"/>
        <w:gridCol w:w="1116"/>
        <w:gridCol w:w="667"/>
        <w:gridCol w:w="896"/>
        <w:gridCol w:w="753"/>
        <w:gridCol w:w="1270"/>
      </w:tblGrid>
      <w:tr w:rsidR="00331399" w:rsidRPr="003D3862" w14:paraId="23ACF72C" w14:textId="77777777" w:rsidTr="009D3E20">
        <w:tc>
          <w:tcPr>
            <w:tcW w:w="3353" w:type="dxa"/>
          </w:tcPr>
          <w:p w14:paraId="1ED634ED" w14:textId="77777777" w:rsidR="00331399" w:rsidRPr="003D3862" w:rsidRDefault="00331399" w:rsidP="00331399">
            <w:pPr>
              <w:spacing w:line="240" w:lineRule="auto"/>
              <w:rPr>
                <w:rFonts w:cs="Times New Roman"/>
                <w:b/>
                <w:szCs w:val="24"/>
              </w:rPr>
            </w:pPr>
            <w:r w:rsidRPr="003D3862">
              <w:rPr>
                <w:rFonts w:cs="Times New Roman"/>
                <w:b/>
                <w:szCs w:val="24"/>
              </w:rPr>
              <w:t>Variable</w:t>
            </w:r>
          </w:p>
        </w:tc>
        <w:tc>
          <w:tcPr>
            <w:tcW w:w="1116" w:type="dxa"/>
          </w:tcPr>
          <w:p w14:paraId="1AB92CE2" w14:textId="77777777" w:rsidR="00331399" w:rsidRPr="003D3862" w:rsidRDefault="00331399" w:rsidP="00331399">
            <w:pPr>
              <w:spacing w:line="240" w:lineRule="auto"/>
              <w:rPr>
                <w:rFonts w:cs="Times New Roman"/>
                <w:b/>
                <w:szCs w:val="24"/>
              </w:rPr>
            </w:pPr>
            <w:r w:rsidRPr="003D3862">
              <w:rPr>
                <w:rFonts w:cs="Times New Roman"/>
                <w:b/>
                <w:szCs w:val="24"/>
              </w:rPr>
              <w:t>Mean</w:t>
            </w:r>
          </w:p>
        </w:tc>
        <w:tc>
          <w:tcPr>
            <w:tcW w:w="1116" w:type="dxa"/>
          </w:tcPr>
          <w:p w14:paraId="4CFBAA33" w14:textId="77777777" w:rsidR="00331399" w:rsidRPr="003D3862" w:rsidRDefault="00331399" w:rsidP="00331399">
            <w:pPr>
              <w:spacing w:line="240" w:lineRule="auto"/>
              <w:rPr>
                <w:rFonts w:cs="Times New Roman"/>
                <w:b/>
                <w:szCs w:val="24"/>
              </w:rPr>
            </w:pPr>
            <w:r w:rsidRPr="003D3862">
              <w:rPr>
                <w:rFonts w:cs="Times New Roman"/>
                <w:b/>
                <w:szCs w:val="24"/>
              </w:rPr>
              <w:t>Std. Dev.</w:t>
            </w:r>
          </w:p>
        </w:tc>
        <w:tc>
          <w:tcPr>
            <w:tcW w:w="667" w:type="dxa"/>
          </w:tcPr>
          <w:p w14:paraId="6DBD4708" w14:textId="77777777" w:rsidR="00331399" w:rsidRPr="003D3862" w:rsidRDefault="00331399" w:rsidP="00331399">
            <w:pPr>
              <w:spacing w:line="240" w:lineRule="auto"/>
              <w:rPr>
                <w:rFonts w:cs="Times New Roman"/>
                <w:b/>
                <w:szCs w:val="24"/>
              </w:rPr>
            </w:pPr>
            <w:r w:rsidRPr="003D3862">
              <w:rPr>
                <w:rFonts w:cs="Times New Roman"/>
                <w:b/>
                <w:szCs w:val="24"/>
              </w:rPr>
              <w:t>N</w:t>
            </w:r>
          </w:p>
        </w:tc>
        <w:tc>
          <w:tcPr>
            <w:tcW w:w="896" w:type="dxa"/>
          </w:tcPr>
          <w:p w14:paraId="115AFC50" w14:textId="77777777" w:rsidR="00331399" w:rsidRPr="003D3862" w:rsidRDefault="00331399" w:rsidP="00331399">
            <w:pPr>
              <w:spacing w:line="240" w:lineRule="auto"/>
              <w:rPr>
                <w:rFonts w:cs="Times New Roman"/>
                <w:b/>
                <w:szCs w:val="24"/>
              </w:rPr>
            </w:pPr>
            <w:r w:rsidRPr="003D3862">
              <w:rPr>
                <w:rFonts w:cs="Times New Roman"/>
                <w:b/>
                <w:szCs w:val="24"/>
              </w:rPr>
              <w:t xml:space="preserve">   R</w:t>
            </w:r>
          </w:p>
        </w:tc>
        <w:tc>
          <w:tcPr>
            <w:tcW w:w="753" w:type="dxa"/>
          </w:tcPr>
          <w:p w14:paraId="6A8E4D05" w14:textId="77777777" w:rsidR="00331399" w:rsidRPr="003D3862" w:rsidRDefault="00331399" w:rsidP="00331399">
            <w:pPr>
              <w:spacing w:line="240" w:lineRule="auto"/>
              <w:rPr>
                <w:rFonts w:cs="Times New Roman"/>
                <w:b/>
                <w:szCs w:val="24"/>
              </w:rPr>
            </w:pPr>
            <w:r w:rsidRPr="003D3862">
              <w:rPr>
                <w:rFonts w:cs="Times New Roman"/>
                <w:b/>
                <w:szCs w:val="24"/>
              </w:rPr>
              <w:t>P</w:t>
            </w:r>
          </w:p>
        </w:tc>
        <w:tc>
          <w:tcPr>
            <w:tcW w:w="1270" w:type="dxa"/>
          </w:tcPr>
          <w:p w14:paraId="702DAF5A" w14:textId="77777777" w:rsidR="00331399" w:rsidRPr="003D3862" w:rsidRDefault="00331399" w:rsidP="00331399">
            <w:pPr>
              <w:spacing w:line="240" w:lineRule="auto"/>
              <w:rPr>
                <w:rFonts w:cs="Times New Roman"/>
                <w:b/>
                <w:szCs w:val="24"/>
              </w:rPr>
            </w:pPr>
            <w:r w:rsidRPr="003D3862">
              <w:rPr>
                <w:rFonts w:cs="Times New Roman"/>
                <w:b/>
                <w:szCs w:val="24"/>
              </w:rPr>
              <w:t xml:space="preserve">Remark </w:t>
            </w:r>
          </w:p>
        </w:tc>
      </w:tr>
      <w:tr w:rsidR="00331399" w:rsidRPr="003D3862" w14:paraId="279147CA" w14:textId="77777777" w:rsidTr="009D3E20">
        <w:trPr>
          <w:trHeight w:val="330"/>
        </w:trPr>
        <w:tc>
          <w:tcPr>
            <w:tcW w:w="3353" w:type="dxa"/>
          </w:tcPr>
          <w:p w14:paraId="3D9326FB" w14:textId="77777777" w:rsidR="00331399" w:rsidRPr="003D3862" w:rsidRDefault="00331399" w:rsidP="00331399">
            <w:pPr>
              <w:spacing w:line="240" w:lineRule="auto"/>
              <w:rPr>
                <w:rFonts w:cs="Times New Roman"/>
                <w:b/>
                <w:bCs/>
                <w:szCs w:val="24"/>
              </w:rPr>
            </w:pPr>
            <w:r w:rsidRPr="003D3862">
              <w:rPr>
                <w:rFonts w:cs="Times New Roman"/>
                <w:szCs w:val="24"/>
              </w:rPr>
              <w:t>Fair business practice</w:t>
            </w:r>
          </w:p>
        </w:tc>
        <w:tc>
          <w:tcPr>
            <w:tcW w:w="1116" w:type="dxa"/>
          </w:tcPr>
          <w:p w14:paraId="514B3669" w14:textId="77777777" w:rsidR="00331399" w:rsidRPr="003D3862" w:rsidRDefault="00331399" w:rsidP="00331399">
            <w:pPr>
              <w:spacing w:line="240" w:lineRule="auto"/>
              <w:rPr>
                <w:rFonts w:cs="Times New Roman"/>
                <w:szCs w:val="24"/>
              </w:rPr>
            </w:pPr>
            <w:r w:rsidRPr="003D3862">
              <w:rPr>
                <w:rFonts w:cs="Times New Roman"/>
                <w:szCs w:val="24"/>
              </w:rPr>
              <w:t>4.170370</w:t>
            </w:r>
          </w:p>
        </w:tc>
        <w:tc>
          <w:tcPr>
            <w:tcW w:w="1116" w:type="dxa"/>
          </w:tcPr>
          <w:p w14:paraId="4D734212" w14:textId="77777777" w:rsidR="00331399" w:rsidRPr="003D3862" w:rsidRDefault="00331399" w:rsidP="00331399">
            <w:pPr>
              <w:spacing w:line="240" w:lineRule="auto"/>
              <w:rPr>
                <w:rFonts w:cs="Times New Roman"/>
                <w:szCs w:val="24"/>
              </w:rPr>
            </w:pPr>
            <w:r w:rsidRPr="003D3862">
              <w:rPr>
                <w:rFonts w:cs="Times New Roman"/>
                <w:szCs w:val="24"/>
              </w:rPr>
              <w:t>.5129436</w:t>
            </w:r>
          </w:p>
        </w:tc>
        <w:tc>
          <w:tcPr>
            <w:tcW w:w="667" w:type="dxa"/>
            <w:vMerge w:val="restart"/>
          </w:tcPr>
          <w:p w14:paraId="59BA83E7" w14:textId="77777777" w:rsidR="00331399" w:rsidRPr="003D3862" w:rsidRDefault="00331399" w:rsidP="00331399">
            <w:pPr>
              <w:spacing w:line="240" w:lineRule="auto"/>
              <w:rPr>
                <w:rFonts w:cs="Times New Roman"/>
                <w:szCs w:val="24"/>
              </w:rPr>
            </w:pPr>
            <w:r w:rsidRPr="003D3862">
              <w:rPr>
                <w:rFonts w:cs="Times New Roman"/>
                <w:szCs w:val="24"/>
              </w:rPr>
              <w:t>81</w:t>
            </w:r>
          </w:p>
        </w:tc>
        <w:tc>
          <w:tcPr>
            <w:tcW w:w="896" w:type="dxa"/>
            <w:vMerge w:val="restart"/>
          </w:tcPr>
          <w:p w14:paraId="63632D2D" w14:textId="77777777" w:rsidR="00331399" w:rsidRPr="003D3862" w:rsidRDefault="00331399" w:rsidP="00331399">
            <w:pPr>
              <w:spacing w:line="240" w:lineRule="auto"/>
              <w:rPr>
                <w:rFonts w:cs="Times New Roman"/>
                <w:szCs w:val="24"/>
              </w:rPr>
            </w:pPr>
            <w:r w:rsidRPr="003D3862">
              <w:rPr>
                <w:rFonts w:cs="Times New Roman"/>
                <w:szCs w:val="24"/>
              </w:rPr>
              <w:t>.592</w:t>
            </w:r>
            <w:r w:rsidRPr="003D3862">
              <w:rPr>
                <w:rFonts w:cs="Times New Roman"/>
                <w:szCs w:val="24"/>
                <w:vertAlign w:val="superscript"/>
              </w:rPr>
              <w:t>**</w:t>
            </w:r>
          </w:p>
        </w:tc>
        <w:tc>
          <w:tcPr>
            <w:tcW w:w="753" w:type="dxa"/>
            <w:vMerge w:val="restart"/>
          </w:tcPr>
          <w:p w14:paraId="6EC905A4" w14:textId="77777777" w:rsidR="00331399" w:rsidRPr="003D3862" w:rsidRDefault="00331399" w:rsidP="00331399">
            <w:pPr>
              <w:spacing w:line="240" w:lineRule="auto"/>
              <w:rPr>
                <w:rFonts w:cs="Times New Roman"/>
                <w:szCs w:val="24"/>
              </w:rPr>
            </w:pPr>
            <w:r w:rsidRPr="003D3862">
              <w:rPr>
                <w:rFonts w:cs="Times New Roman"/>
                <w:szCs w:val="24"/>
              </w:rPr>
              <w:t>.000</w:t>
            </w:r>
          </w:p>
        </w:tc>
        <w:tc>
          <w:tcPr>
            <w:tcW w:w="1270" w:type="dxa"/>
            <w:vMerge w:val="restart"/>
          </w:tcPr>
          <w:p w14:paraId="30EA4CCE" w14:textId="77777777" w:rsidR="00331399" w:rsidRPr="003D3862" w:rsidRDefault="00331399" w:rsidP="00331399">
            <w:pPr>
              <w:spacing w:line="240" w:lineRule="auto"/>
              <w:rPr>
                <w:rFonts w:cs="Times New Roman"/>
                <w:szCs w:val="24"/>
              </w:rPr>
            </w:pPr>
            <w:r w:rsidRPr="003D3862">
              <w:rPr>
                <w:rFonts w:cs="Times New Roman"/>
                <w:szCs w:val="24"/>
              </w:rPr>
              <w:t>Significant</w:t>
            </w:r>
          </w:p>
        </w:tc>
      </w:tr>
      <w:tr w:rsidR="00331399" w:rsidRPr="003D3862" w14:paraId="749D97FF" w14:textId="77777777" w:rsidTr="009D3E20">
        <w:trPr>
          <w:trHeight w:val="555"/>
        </w:trPr>
        <w:tc>
          <w:tcPr>
            <w:tcW w:w="3353" w:type="dxa"/>
          </w:tcPr>
          <w:p w14:paraId="0B7BD8C4" w14:textId="77777777" w:rsidR="00331399" w:rsidRPr="003D3862" w:rsidRDefault="00331399" w:rsidP="00331399">
            <w:pPr>
              <w:spacing w:line="240" w:lineRule="auto"/>
              <w:rPr>
                <w:rFonts w:cs="Times New Roman"/>
                <w:szCs w:val="24"/>
              </w:rPr>
            </w:pPr>
            <w:r w:rsidRPr="003D3862">
              <w:rPr>
                <w:rFonts w:cs="Times New Roman"/>
                <w:szCs w:val="24"/>
              </w:rPr>
              <w:t>Supply-chain sustainability</w:t>
            </w:r>
          </w:p>
        </w:tc>
        <w:tc>
          <w:tcPr>
            <w:tcW w:w="1116" w:type="dxa"/>
          </w:tcPr>
          <w:p w14:paraId="29379C83" w14:textId="77777777" w:rsidR="00331399" w:rsidRPr="003D3862" w:rsidRDefault="00331399" w:rsidP="00331399">
            <w:pPr>
              <w:spacing w:line="240" w:lineRule="auto"/>
              <w:rPr>
                <w:rFonts w:cs="Times New Roman"/>
                <w:szCs w:val="24"/>
              </w:rPr>
            </w:pPr>
            <w:r w:rsidRPr="003D3862">
              <w:rPr>
                <w:rFonts w:cs="Times New Roman"/>
                <w:szCs w:val="24"/>
              </w:rPr>
              <w:t>4.418519</w:t>
            </w:r>
          </w:p>
        </w:tc>
        <w:tc>
          <w:tcPr>
            <w:tcW w:w="1116" w:type="dxa"/>
          </w:tcPr>
          <w:p w14:paraId="557C281A" w14:textId="77777777" w:rsidR="00331399" w:rsidRPr="003D3862" w:rsidRDefault="00331399" w:rsidP="00331399">
            <w:pPr>
              <w:spacing w:line="240" w:lineRule="auto"/>
              <w:rPr>
                <w:rFonts w:cs="Times New Roman"/>
                <w:szCs w:val="24"/>
              </w:rPr>
            </w:pPr>
            <w:r w:rsidRPr="003D3862">
              <w:rPr>
                <w:rFonts w:cs="Times New Roman"/>
                <w:szCs w:val="24"/>
              </w:rPr>
              <w:t>.4043857</w:t>
            </w:r>
          </w:p>
        </w:tc>
        <w:tc>
          <w:tcPr>
            <w:tcW w:w="667" w:type="dxa"/>
            <w:vMerge/>
          </w:tcPr>
          <w:p w14:paraId="171B5779" w14:textId="77777777" w:rsidR="00331399" w:rsidRPr="003D3862" w:rsidRDefault="00331399" w:rsidP="00331399">
            <w:pPr>
              <w:spacing w:line="240" w:lineRule="auto"/>
              <w:rPr>
                <w:rFonts w:cs="Times New Roman"/>
                <w:szCs w:val="24"/>
              </w:rPr>
            </w:pPr>
          </w:p>
        </w:tc>
        <w:tc>
          <w:tcPr>
            <w:tcW w:w="896" w:type="dxa"/>
            <w:vMerge/>
          </w:tcPr>
          <w:p w14:paraId="0EF77143" w14:textId="77777777" w:rsidR="00331399" w:rsidRPr="003D3862" w:rsidRDefault="00331399" w:rsidP="00331399">
            <w:pPr>
              <w:spacing w:line="240" w:lineRule="auto"/>
              <w:rPr>
                <w:rFonts w:cs="Times New Roman"/>
                <w:szCs w:val="24"/>
              </w:rPr>
            </w:pPr>
          </w:p>
        </w:tc>
        <w:tc>
          <w:tcPr>
            <w:tcW w:w="753" w:type="dxa"/>
            <w:vMerge/>
          </w:tcPr>
          <w:p w14:paraId="45C0C293" w14:textId="77777777" w:rsidR="00331399" w:rsidRPr="003D3862" w:rsidRDefault="00331399" w:rsidP="00331399">
            <w:pPr>
              <w:spacing w:line="240" w:lineRule="auto"/>
              <w:rPr>
                <w:rFonts w:cs="Times New Roman"/>
                <w:szCs w:val="24"/>
              </w:rPr>
            </w:pPr>
          </w:p>
        </w:tc>
        <w:tc>
          <w:tcPr>
            <w:tcW w:w="1270" w:type="dxa"/>
            <w:vMerge/>
          </w:tcPr>
          <w:p w14:paraId="0EF553D4" w14:textId="77777777" w:rsidR="00331399" w:rsidRPr="003D3862" w:rsidRDefault="00331399" w:rsidP="00331399">
            <w:pPr>
              <w:spacing w:line="240" w:lineRule="auto"/>
              <w:rPr>
                <w:rFonts w:cs="Times New Roman"/>
                <w:szCs w:val="24"/>
              </w:rPr>
            </w:pPr>
          </w:p>
        </w:tc>
      </w:tr>
    </w:tbl>
    <w:p w14:paraId="5CDD0360" w14:textId="77777777" w:rsidR="00331399" w:rsidRPr="003D3862" w:rsidRDefault="00331399" w:rsidP="00331399">
      <w:pPr>
        <w:spacing w:line="240" w:lineRule="auto"/>
        <w:rPr>
          <w:rFonts w:cs="Times New Roman"/>
          <w:szCs w:val="24"/>
        </w:rPr>
      </w:pPr>
      <w:r w:rsidRPr="003D3862">
        <w:rPr>
          <w:rFonts w:cs="Times New Roman"/>
          <w:szCs w:val="24"/>
        </w:rPr>
        <w:t>**Sig. at .01 level</w:t>
      </w:r>
    </w:p>
    <w:p w14:paraId="25D76FE4" w14:textId="77777777" w:rsidR="00331399" w:rsidRPr="003D3862" w:rsidRDefault="00331399" w:rsidP="00331399">
      <w:pPr>
        <w:spacing w:line="240" w:lineRule="auto"/>
        <w:rPr>
          <w:rFonts w:cs="Times New Roman"/>
          <w:szCs w:val="24"/>
        </w:rPr>
      </w:pPr>
      <w:r w:rsidRPr="003D3862">
        <w:rPr>
          <w:rFonts w:cs="Times New Roman"/>
          <w:szCs w:val="24"/>
        </w:rPr>
        <w:t xml:space="preserve">In addition to confirming a significant positive correlation (R = 0.592**, p &lt; 0.01), the findings from Table 2 indicate that fair business practices are not only ethically commendable but also operationally beneficial, reinforcing the strategic importance of ethical conduct in supply chain management. The strength of the correlation suggests a moderate to strong association, which implies that as organizations improve their transparency, honesty in transactions, and equitable treatment of stakeholders, they enhance their ability to maintain more resilient and sustainable supply chain systems. This relationship may manifest through increased trust among partners, improved supplier relations, reduced conflicts, and stronger stakeholder engagement—all of which contribute to operational continuity and long-term sustainability. Furthermore, the result reflects how ethical behaviour within business operations can act as a catalyst for adopting broader sustainability goals, including environmental stewardship and social responsibility. The alignment of these findings with the work of Zhang et al. (2020), </w:t>
      </w:r>
      <w:proofErr w:type="spellStart"/>
      <w:r w:rsidRPr="003D3862">
        <w:rPr>
          <w:rFonts w:cs="Times New Roman"/>
          <w:szCs w:val="24"/>
        </w:rPr>
        <w:t>Oyedijo</w:t>
      </w:r>
      <w:proofErr w:type="spellEnd"/>
      <w:r w:rsidRPr="003D3862">
        <w:rPr>
          <w:rFonts w:cs="Times New Roman"/>
          <w:szCs w:val="24"/>
        </w:rPr>
        <w:t xml:space="preserve"> et al. (2023), and Eyo-Udo et al. (2024) reinforces the growing body of evidence that supports the integration of ethical standards into core business strategies as a means to enhance sustainability outcomes across supply chains. These studies collectively point to a global shift in recognizing ethics not merely as a compliance requirement but as a strategic tool for fostering economic, environmental, and social performance across interconnected supply networks.</w:t>
      </w:r>
    </w:p>
    <w:p w14:paraId="54EC3486" w14:textId="77777777" w:rsidR="00331399" w:rsidRPr="00331399" w:rsidRDefault="00331399" w:rsidP="00331399">
      <w:pPr>
        <w:spacing w:line="240" w:lineRule="auto"/>
        <w:rPr>
          <w:rFonts w:cs="Times New Roman"/>
          <w:b/>
          <w:bCs/>
          <w:szCs w:val="24"/>
        </w:rPr>
      </w:pPr>
      <w:r w:rsidRPr="00331399">
        <w:rPr>
          <w:rFonts w:cs="Times New Roman"/>
          <w:b/>
          <w:bCs/>
          <w:szCs w:val="24"/>
        </w:rPr>
        <w:t>Conclusion and Recommendations</w:t>
      </w:r>
      <w:bookmarkStart w:id="5" w:name="_Hlk200372253"/>
    </w:p>
    <w:p w14:paraId="04A7E973" w14:textId="77777777" w:rsidR="00331399" w:rsidRPr="003D3862" w:rsidRDefault="00331399" w:rsidP="00331399">
      <w:pPr>
        <w:spacing w:line="240" w:lineRule="auto"/>
        <w:rPr>
          <w:rFonts w:cs="Times New Roman"/>
          <w:szCs w:val="24"/>
        </w:rPr>
      </w:pPr>
      <w:r w:rsidRPr="003D3862">
        <w:rPr>
          <w:rFonts w:cs="Times New Roman"/>
          <w:szCs w:val="24"/>
        </w:rPr>
        <w:t xml:space="preserve">The study establishes that fair business practices significantly contribute to the sustainability of supply chains within the operational context of selected petrol stations in Ibadan, </w:t>
      </w:r>
      <w:r>
        <w:rPr>
          <w:rFonts w:cs="Times New Roman"/>
          <w:szCs w:val="24"/>
        </w:rPr>
        <w:t>Nigeria</w:t>
      </w:r>
      <w:r w:rsidRPr="003D3862">
        <w:rPr>
          <w:rFonts w:cs="Times New Roman"/>
          <w:szCs w:val="24"/>
        </w:rPr>
        <w:t xml:space="preserve">. The evidence indicates that when organizations prioritize fairness in their interactions—whether with employees, suppliers, or other stakeholders—they are better positioned to enhance the resilience, </w:t>
      </w:r>
      <w:r w:rsidRPr="003D3862">
        <w:rPr>
          <w:rFonts w:cs="Times New Roman"/>
          <w:szCs w:val="24"/>
        </w:rPr>
        <w:lastRenderedPageBreak/>
        <w:t>efficiency, and long-term performance of their supply chains. Ethical practices serve not only as guiding principles but as strategic tools that strengthen trust, accountability, and operational harmony across supply chain networks.</w:t>
      </w:r>
    </w:p>
    <w:p w14:paraId="5E6A9AD7" w14:textId="48B1A88B" w:rsidR="00331399" w:rsidRPr="00331399" w:rsidRDefault="00331399" w:rsidP="00331399">
      <w:pPr>
        <w:spacing w:line="240" w:lineRule="auto"/>
        <w:rPr>
          <w:rFonts w:cs="Times New Roman"/>
          <w:szCs w:val="24"/>
        </w:rPr>
      </w:pPr>
      <w:r w:rsidRPr="003D3862">
        <w:rPr>
          <w:rFonts w:cs="Times New Roman"/>
          <w:szCs w:val="24"/>
        </w:rPr>
        <w:t>In view of the study findings, it is recommended that petrol station operators and supply chain decision-makers embed fair business practices as a standard part of their strategic and operational procedures. This includes fostering transparency in transactions, ensuring equitable treatment of employees and partners, and promoting integrity in supplier relationships. Industry regulators and associations should support this effort by implementing compliance frameworks, facilitating ethics-based training, and offering performance evaluation tools that incorporate ethical benchmarks. Sustained commitment to fairness at all levels of the supply chain can ultimately enhance operational sustainability and build a more robust petroleum retail sector.</w:t>
      </w:r>
      <w:bookmarkEnd w:id="5"/>
    </w:p>
    <w:p w14:paraId="3AC31E3F" w14:textId="77777777" w:rsidR="00331399" w:rsidRPr="003D3862" w:rsidRDefault="00331399" w:rsidP="00331399">
      <w:pPr>
        <w:spacing w:line="480" w:lineRule="auto"/>
        <w:rPr>
          <w:rFonts w:cs="Times New Roman"/>
          <w:b/>
          <w:bCs/>
          <w:szCs w:val="24"/>
        </w:rPr>
      </w:pPr>
      <w:r w:rsidRPr="003D3862">
        <w:rPr>
          <w:rFonts w:cs="Times New Roman"/>
          <w:b/>
          <w:bCs/>
          <w:szCs w:val="24"/>
        </w:rPr>
        <w:t>References</w:t>
      </w:r>
    </w:p>
    <w:p w14:paraId="6A6C1F31" w14:textId="77777777" w:rsidR="00331399" w:rsidRPr="003D3862" w:rsidRDefault="00331399" w:rsidP="00331399">
      <w:pPr>
        <w:spacing w:line="240" w:lineRule="auto"/>
        <w:ind w:left="720" w:hanging="720"/>
        <w:rPr>
          <w:rFonts w:cs="Times New Roman"/>
          <w:szCs w:val="24"/>
        </w:rPr>
      </w:pPr>
      <w:r w:rsidRPr="003D3862">
        <w:rPr>
          <w:rFonts w:cs="Times New Roman"/>
          <w:szCs w:val="24"/>
        </w:rPr>
        <w:t>Akinsola, K. (2025). Legal Compliance in Corporate Governance Frameworks: Best Practices for Ensuring Transparency, Accountability, and Risk Mitigation. </w:t>
      </w:r>
      <w:r w:rsidRPr="003D3862">
        <w:rPr>
          <w:rFonts w:cs="Times New Roman"/>
          <w:i/>
          <w:iCs/>
          <w:szCs w:val="24"/>
        </w:rPr>
        <w:t>Accountability, and Risk Mitigation (January 31, 2025)</w:t>
      </w:r>
      <w:r w:rsidRPr="003D3862">
        <w:rPr>
          <w:rFonts w:cs="Times New Roman"/>
          <w:szCs w:val="24"/>
        </w:rPr>
        <w:t>.</w:t>
      </w:r>
    </w:p>
    <w:p w14:paraId="50F57F81" w14:textId="77777777" w:rsidR="00331399" w:rsidRPr="003D3862" w:rsidRDefault="00331399" w:rsidP="00331399">
      <w:pPr>
        <w:spacing w:line="240" w:lineRule="auto"/>
        <w:ind w:left="720" w:hanging="720"/>
        <w:rPr>
          <w:rFonts w:cs="Times New Roman"/>
          <w:szCs w:val="24"/>
        </w:rPr>
      </w:pPr>
      <w:r w:rsidRPr="003D3862">
        <w:rPr>
          <w:rFonts w:cs="Times New Roman"/>
          <w:szCs w:val="24"/>
        </w:rPr>
        <w:t>Chukwu, E., Adu-Baah, A., Niaz, M., Nwagwu, U., &amp; Chukwu, M. U. (2023). Navigating ethical supply chains: the intersection of diplomatic management and theological ethics. </w:t>
      </w:r>
      <w:r w:rsidRPr="003D3862">
        <w:rPr>
          <w:rFonts w:cs="Times New Roman"/>
          <w:i/>
          <w:iCs/>
          <w:szCs w:val="24"/>
        </w:rPr>
        <w:t>International Journal of Multidisciplinary Sciences and Arts</w:t>
      </w:r>
      <w:r w:rsidRPr="003D3862">
        <w:rPr>
          <w:rFonts w:cs="Times New Roman"/>
          <w:szCs w:val="24"/>
        </w:rPr>
        <w:t>, </w:t>
      </w:r>
      <w:r w:rsidRPr="003D3862">
        <w:rPr>
          <w:rFonts w:cs="Times New Roman"/>
          <w:i/>
          <w:iCs/>
          <w:szCs w:val="24"/>
        </w:rPr>
        <w:t>2</w:t>
      </w:r>
      <w:r w:rsidRPr="003D3862">
        <w:rPr>
          <w:rFonts w:cs="Times New Roman"/>
          <w:szCs w:val="24"/>
        </w:rPr>
        <w:t>(3), 127-139.</w:t>
      </w:r>
    </w:p>
    <w:p w14:paraId="7529567F" w14:textId="77777777" w:rsidR="00331399" w:rsidRPr="003D3862" w:rsidRDefault="00331399" w:rsidP="00331399">
      <w:pPr>
        <w:spacing w:line="240" w:lineRule="auto"/>
        <w:ind w:left="720" w:hanging="720"/>
        <w:rPr>
          <w:rFonts w:cs="Times New Roman"/>
          <w:szCs w:val="24"/>
        </w:rPr>
      </w:pPr>
      <w:r w:rsidRPr="003D3862">
        <w:rPr>
          <w:rFonts w:cs="Times New Roman"/>
          <w:szCs w:val="24"/>
        </w:rPr>
        <w:t xml:space="preserve">Dmytriyev, S. D., Freeman, R. E., &amp; </w:t>
      </w:r>
      <w:proofErr w:type="spellStart"/>
      <w:r w:rsidRPr="003D3862">
        <w:rPr>
          <w:rFonts w:cs="Times New Roman"/>
          <w:szCs w:val="24"/>
        </w:rPr>
        <w:t>Hörisch</w:t>
      </w:r>
      <w:proofErr w:type="spellEnd"/>
      <w:r w:rsidRPr="003D3862">
        <w:rPr>
          <w:rFonts w:cs="Times New Roman"/>
          <w:szCs w:val="24"/>
        </w:rPr>
        <w:t>, J. (2021). The relationship between stakeholder theory and corporate social responsibility: Differences, similarities, and implications for social issues in management. </w:t>
      </w:r>
      <w:r w:rsidRPr="003D3862">
        <w:rPr>
          <w:rFonts w:cs="Times New Roman"/>
          <w:i/>
          <w:iCs/>
          <w:szCs w:val="24"/>
        </w:rPr>
        <w:t>Journal of management studies</w:t>
      </w:r>
      <w:r w:rsidRPr="003D3862">
        <w:rPr>
          <w:rFonts w:cs="Times New Roman"/>
          <w:szCs w:val="24"/>
        </w:rPr>
        <w:t>, </w:t>
      </w:r>
      <w:r w:rsidRPr="003D3862">
        <w:rPr>
          <w:rFonts w:cs="Times New Roman"/>
          <w:i/>
          <w:iCs/>
          <w:szCs w:val="24"/>
        </w:rPr>
        <w:t>58</w:t>
      </w:r>
      <w:r w:rsidRPr="003D3862">
        <w:rPr>
          <w:rFonts w:cs="Times New Roman"/>
          <w:szCs w:val="24"/>
        </w:rPr>
        <w:t>(6), 1441-1470.</w:t>
      </w:r>
    </w:p>
    <w:p w14:paraId="4DE82FC9" w14:textId="77777777" w:rsidR="00331399" w:rsidRPr="003D3862" w:rsidRDefault="00331399" w:rsidP="00331399">
      <w:pPr>
        <w:spacing w:line="240" w:lineRule="auto"/>
        <w:ind w:left="720" w:hanging="720"/>
        <w:rPr>
          <w:rFonts w:cs="Times New Roman"/>
          <w:szCs w:val="24"/>
        </w:rPr>
      </w:pPr>
      <w:r w:rsidRPr="003D3862">
        <w:rPr>
          <w:rFonts w:cs="Times New Roman"/>
          <w:szCs w:val="24"/>
        </w:rPr>
        <w:t>Dubey, S., Singh, R., Singh, S. P., Mishra, A. H., &amp; Singh, N. V. (2020). A brief study of value chain and supply chain. </w:t>
      </w:r>
      <w:r w:rsidRPr="003D3862">
        <w:rPr>
          <w:rFonts w:cs="Times New Roman"/>
          <w:i/>
          <w:iCs/>
          <w:szCs w:val="24"/>
        </w:rPr>
        <w:t>Agriculture development and economic transformation in global scenario</w:t>
      </w:r>
      <w:r w:rsidRPr="003D3862">
        <w:rPr>
          <w:rFonts w:cs="Times New Roman"/>
          <w:szCs w:val="24"/>
        </w:rPr>
        <w:t>, 177-183.</w:t>
      </w:r>
    </w:p>
    <w:p w14:paraId="5F7E105A" w14:textId="77777777" w:rsidR="00331399" w:rsidRPr="003D3862" w:rsidRDefault="00331399" w:rsidP="00331399">
      <w:pPr>
        <w:spacing w:line="240" w:lineRule="auto"/>
        <w:ind w:left="720" w:hanging="720"/>
        <w:rPr>
          <w:rFonts w:cs="Times New Roman"/>
          <w:szCs w:val="24"/>
        </w:rPr>
      </w:pPr>
      <w:r w:rsidRPr="003D3862">
        <w:rPr>
          <w:rFonts w:cs="Times New Roman"/>
          <w:szCs w:val="24"/>
        </w:rPr>
        <w:t>Esan, O., Ajayi, F. A., &amp; Olawale, O. (2024). Supply chain integrating sustainability and ethics: Strategies for modern supply chain management. </w:t>
      </w:r>
      <w:r w:rsidRPr="003D3862">
        <w:rPr>
          <w:rFonts w:cs="Times New Roman"/>
          <w:i/>
          <w:iCs/>
          <w:szCs w:val="24"/>
        </w:rPr>
        <w:t>World Journal of Advanced Research and Reviews</w:t>
      </w:r>
      <w:r w:rsidRPr="003D3862">
        <w:rPr>
          <w:rFonts w:cs="Times New Roman"/>
          <w:szCs w:val="24"/>
        </w:rPr>
        <w:t>, </w:t>
      </w:r>
      <w:r w:rsidRPr="003D3862">
        <w:rPr>
          <w:rFonts w:cs="Times New Roman"/>
          <w:i/>
          <w:iCs/>
          <w:szCs w:val="24"/>
        </w:rPr>
        <w:t>22</w:t>
      </w:r>
      <w:r w:rsidRPr="003D3862">
        <w:rPr>
          <w:rFonts w:cs="Times New Roman"/>
          <w:szCs w:val="24"/>
        </w:rPr>
        <w:t>(1), 1930-1953.</w:t>
      </w:r>
    </w:p>
    <w:p w14:paraId="024640D7" w14:textId="77777777" w:rsidR="00331399" w:rsidRPr="003D3862" w:rsidRDefault="00331399" w:rsidP="00331399">
      <w:pPr>
        <w:spacing w:line="240" w:lineRule="auto"/>
        <w:ind w:left="720" w:hanging="720"/>
        <w:rPr>
          <w:rFonts w:cs="Times New Roman"/>
          <w:szCs w:val="24"/>
        </w:rPr>
      </w:pPr>
      <w:r w:rsidRPr="003D3862">
        <w:rPr>
          <w:rFonts w:cs="Times New Roman"/>
          <w:szCs w:val="24"/>
        </w:rPr>
        <w:t xml:space="preserve">Eyo-Udo, N. L., </w:t>
      </w:r>
      <w:proofErr w:type="spellStart"/>
      <w:r w:rsidRPr="003D3862">
        <w:rPr>
          <w:rFonts w:cs="Times New Roman"/>
          <w:szCs w:val="24"/>
        </w:rPr>
        <w:t>Odimarha</w:t>
      </w:r>
      <w:proofErr w:type="spellEnd"/>
      <w:r w:rsidRPr="003D3862">
        <w:rPr>
          <w:rFonts w:cs="Times New Roman"/>
          <w:szCs w:val="24"/>
        </w:rPr>
        <w:t xml:space="preserve">, A. C., &amp; </w:t>
      </w:r>
      <w:proofErr w:type="spellStart"/>
      <w:r w:rsidRPr="003D3862">
        <w:rPr>
          <w:rFonts w:cs="Times New Roman"/>
          <w:szCs w:val="24"/>
        </w:rPr>
        <w:t>Ejairu</w:t>
      </w:r>
      <w:proofErr w:type="spellEnd"/>
      <w:r w:rsidRPr="003D3862">
        <w:rPr>
          <w:rFonts w:cs="Times New Roman"/>
          <w:szCs w:val="24"/>
        </w:rPr>
        <w:t>, E. (2024). Sustainable and ethical supply chain management: The role of HR in current practices and future directions. </w:t>
      </w:r>
      <w:r w:rsidRPr="003D3862">
        <w:rPr>
          <w:rFonts w:cs="Times New Roman"/>
          <w:i/>
          <w:iCs/>
          <w:szCs w:val="24"/>
        </w:rPr>
        <w:t>Magna Scientia Advanced Research and Reviews</w:t>
      </w:r>
      <w:r w:rsidRPr="003D3862">
        <w:rPr>
          <w:rFonts w:cs="Times New Roman"/>
          <w:szCs w:val="24"/>
        </w:rPr>
        <w:t>, </w:t>
      </w:r>
      <w:r w:rsidRPr="003D3862">
        <w:rPr>
          <w:rFonts w:cs="Times New Roman"/>
          <w:i/>
          <w:iCs/>
          <w:szCs w:val="24"/>
        </w:rPr>
        <w:t>10</w:t>
      </w:r>
      <w:r w:rsidRPr="003D3862">
        <w:rPr>
          <w:rFonts w:cs="Times New Roman"/>
          <w:szCs w:val="24"/>
        </w:rPr>
        <w:t>(2), 181-196.</w:t>
      </w:r>
    </w:p>
    <w:p w14:paraId="5C321A0C" w14:textId="77777777" w:rsidR="00331399" w:rsidRPr="003D3862" w:rsidRDefault="00331399" w:rsidP="00331399">
      <w:pPr>
        <w:spacing w:line="240" w:lineRule="auto"/>
        <w:ind w:left="720" w:hanging="720"/>
        <w:rPr>
          <w:rFonts w:cs="Times New Roman"/>
          <w:szCs w:val="24"/>
        </w:rPr>
      </w:pPr>
      <w:r w:rsidRPr="003D3862">
        <w:rPr>
          <w:rFonts w:cs="Times New Roman"/>
          <w:szCs w:val="24"/>
        </w:rPr>
        <w:t xml:space="preserve">Ferrell, O. C., Rogers, M. M., Ferrell, L., &amp; </w:t>
      </w:r>
      <w:proofErr w:type="spellStart"/>
      <w:r w:rsidRPr="003D3862">
        <w:rPr>
          <w:rFonts w:cs="Times New Roman"/>
          <w:szCs w:val="24"/>
        </w:rPr>
        <w:t>Sawayda</w:t>
      </w:r>
      <w:proofErr w:type="spellEnd"/>
      <w:r w:rsidRPr="003D3862">
        <w:rPr>
          <w:rFonts w:cs="Times New Roman"/>
          <w:szCs w:val="24"/>
        </w:rPr>
        <w:t>, J. (2013). A framework for understanding ethical supply chain decision making. </w:t>
      </w:r>
      <w:r w:rsidRPr="003D3862">
        <w:rPr>
          <w:rFonts w:cs="Times New Roman"/>
          <w:i/>
          <w:iCs/>
          <w:szCs w:val="24"/>
        </w:rPr>
        <w:t>Journal of Marketing Channels</w:t>
      </w:r>
      <w:r w:rsidRPr="003D3862">
        <w:rPr>
          <w:rFonts w:cs="Times New Roman"/>
          <w:szCs w:val="24"/>
        </w:rPr>
        <w:t>, </w:t>
      </w:r>
      <w:r w:rsidRPr="003D3862">
        <w:rPr>
          <w:rFonts w:cs="Times New Roman"/>
          <w:i/>
          <w:iCs/>
          <w:szCs w:val="24"/>
        </w:rPr>
        <w:t>20</w:t>
      </w:r>
      <w:r w:rsidRPr="003D3862">
        <w:rPr>
          <w:rFonts w:cs="Times New Roman"/>
          <w:szCs w:val="24"/>
        </w:rPr>
        <w:t>(3-4), 260-287.</w:t>
      </w:r>
    </w:p>
    <w:p w14:paraId="091E2312" w14:textId="77777777" w:rsidR="00331399" w:rsidRPr="003D3862" w:rsidRDefault="00331399" w:rsidP="00331399">
      <w:pPr>
        <w:spacing w:line="240" w:lineRule="auto"/>
        <w:ind w:left="720" w:hanging="720"/>
        <w:rPr>
          <w:rFonts w:cs="Times New Roman"/>
          <w:szCs w:val="24"/>
        </w:rPr>
      </w:pPr>
      <w:r w:rsidRPr="003D3862">
        <w:rPr>
          <w:rFonts w:cs="Times New Roman"/>
          <w:szCs w:val="24"/>
        </w:rPr>
        <w:t>Giannakis, M., &amp; Papadopoulos, T. (2016). Supply chain sustainability: A risk management approach. </w:t>
      </w:r>
      <w:r w:rsidRPr="003D3862">
        <w:rPr>
          <w:rFonts w:cs="Times New Roman"/>
          <w:i/>
          <w:iCs/>
          <w:szCs w:val="24"/>
        </w:rPr>
        <w:t>International journal of production economics</w:t>
      </w:r>
      <w:r w:rsidRPr="003D3862">
        <w:rPr>
          <w:rFonts w:cs="Times New Roman"/>
          <w:szCs w:val="24"/>
        </w:rPr>
        <w:t>, </w:t>
      </w:r>
      <w:r w:rsidRPr="003D3862">
        <w:rPr>
          <w:rFonts w:cs="Times New Roman"/>
          <w:i/>
          <w:iCs/>
          <w:szCs w:val="24"/>
        </w:rPr>
        <w:t>171</w:t>
      </w:r>
      <w:r w:rsidRPr="003D3862">
        <w:rPr>
          <w:rFonts w:cs="Times New Roman"/>
          <w:szCs w:val="24"/>
        </w:rPr>
        <w:t>, 455-470.</w:t>
      </w:r>
    </w:p>
    <w:p w14:paraId="64341273" w14:textId="77777777" w:rsidR="00331399" w:rsidRPr="003D3862" w:rsidRDefault="00331399" w:rsidP="00331399">
      <w:pPr>
        <w:spacing w:line="240" w:lineRule="auto"/>
        <w:ind w:left="720" w:hanging="720"/>
        <w:rPr>
          <w:rFonts w:cs="Times New Roman"/>
          <w:szCs w:val="24"/>
        </w:rPr>
      </w:pPr>
      <w:r w:rsidRPr="003D3862">
        <w:rPr>
          <w:rFonts w:cs="Times New Roman"/>
          <w:szCs w:val="24"/>
        </w:rPr>
        <w:t>Gouda, S. K., &amp; Saranga, H. (2018). Sustainable supply chains for supply chain sustainability: impact of sustainability efforts on supply chain risk. </w:t>
      </w:r>
      <w:r w:rsidRPr="003D3862">
        <w:rPr>
          <w:rFonts w:cs="Times New Roman"/>
          <w:i/>
          <w:iCs/>
          <w:szCs w:val="24"/>
        </w:rPr>
        <w:t>International Journal of Production Research</w:t>
      </w:r>
      <w:r w:rsidRPr="003D3862">
        <w:rPr>
          <w:rFonts w:cs="Times New Roman"/>
          <w:szCs w:val="24"/>
        </w:rPr>
        <w:t>, </w:t>
      </w:r>
      <w:r w:rsidRPr="003D3862">
        <w:rPr>
          <w:rFonts w:cs="Times New Roman"/>
          <w:i/>
          <w:iCs/>
          <w:szCs w:val="24"/>
        </w:rPr>
        <w:t>56</w:t>
      </w:r>
      <w:r w:rsidRPr="003D3862">
        <w:rPr>
          <w:rFonts w:cs="Times New Roman"/>
          <w:szCs w:val="24"/>
        </w:rPr>
        <w:t>(17), 5820-5835.</w:t>
      </w:r>
    </w:p>
    <w:p w14:paraId="3CB4A65C" w14:textId="77777777" w:rsidR="00331399" w:rsidRPr="003D3862" w:rsidRDefault="00331399" w:rsidP="00331399">
      <w:pPr>
        <w:spacing w:line="240" w:lineRule="auto"/>
        <w:ind w:left="720" w:hanging="720"/>
        <w:rPr>
          <w:rFonts w:cs="Times New Roman"/>
          <w:szCs w:val="24"/>
        </w:rPr>
      </w:pPr>
      <w:r w:rsidRPr="007476C0">
        <w:rPr>
          <w:rFonts w:cs="Times New Roman"/>
          <w:szCs w:val="24"/>
        </w:rPr>
        <w:t xml:space="preserve">Josiah, J. U., Felix, J. E., Edim, E. J., Glory, S. E., &amp; Eyo, E. E. (2024). Ethical distribution and supply efficiency of petroleum products: A systematic literature review. </w:t>
      </w:r>
      <w:r w:rsidRPr="007476C0">
        <w:rPr>
          <w:rFonts w:cs="Times New Roman"/>
          <w:i/>
          <w:iCs/>
          <w:szCs w:val="24"/>
        </w:rPr>
        <w:t xml:space="preserve">African Journal </w:t>
      </w:r>
      <w:r w:rsidRPr="007476C0">
        <w:rPr>
          <w:rFonts w:cs="Times New Roman"/>
          <w:i/>
          <w:iCs/>
          <w:szCs w:val="24"/>
        </w:rPr>
        <w:lastRenderedPageBreak/>
        <w:t>of Environment and Natural Science Research</w:t>
      </w:r>
      <w:r w:rsidRPr="007476C0">
        <w:rPr>
          <w:rFonts w:cs="Times New Roman"/>
          <w:szCs w:val="24"/>
        </w:rPr>
        <w:t xml:space="preserve">, </w:t>
      </w:r>
      <w:r w:rsidRPr="007476C0">
        <w:rPr>
          <w:rFonts w:cs="Times New Roman"/>
          <w:i/>
          <w:iCs/>
          <w:szCs w:val="24"/>
        </w:rPr>
        <w:t>7</w:t>
      </w:r>
      <w:r w:rsidRPr="007476C0">
        <w:rPr>
          <w:rFonts w:cs="Times New Roman"/>
          <w:szCs w:val="24"/>
        </w:rPr>
        <w:t xml:space="preserve">(1), 52–84. </w:t>
      </w:r>
      <w:hyperlink r:id="rId5" w:history="1">
        <w:r w:rsidRPr="007476C0">
          <w:rPr>
            <w:rStyle w:val="Hyperlink"/>
            <w:rFonts w:cs="Times New Roman"/>
            <w:szCs w:val="24"/>
          </w:rPr>
          <w:t>https://doi.org/10.52589/AJENSR-ZUYUAYRE</w:t>
        </w:r>
      </w:hyperlink>
    </w:p>
    <w:p w14:paraId="795EF66E" w14:textId="77777777" w:rsidR="00331399" w:rsidRPr="003D3862" w:rsidRDefault="00331399" w:rsidP="00331399">
      <w:pPr>
        <w:spacing w:line="240" w:lineRule="auto"/>
        <w:ind w:left="720" w:hanging="720"/>
        <w:rPr>
          <w:rFonts w:cs="Times New Roman"/>
          <w:szCs w:val="24"/>
        </w:rPr>
      </w:pPr>
      <w:r w:rsidRPr="003D3862">
        <w:rPr>
          <w:rFonts w:cs="Times New Roman"/>
          <w:szCs w:val="24"/>
        </w:rPr>
        <w:t>Kauppi, K. (2022). Institutional theory. In </w:t>
      </w:r>
      <w:r w:rsidRPr="003D3862">
        <w:rPr>
          <w:rFonts w:cs="Times New Roman"/>
          <w:i/>
          <w:iCs/>
          <w:szCs w:val="24"/>
        </w:rPr>
        <w:t>Handbook of Theories for Purchasing, Supply Chain and Management Research</w:t>
      </w:r>
      <w:r w:rsidRPr="003D3862">
        <w:rPr>
          <w:rFonts w:cs="Times New Roman"/>
          <w:szCs w:val="24"/>
        </w:rPr>
        <w:t> (pp. 320-334). Edward Elgar Publishing.</w:t>
      </w:r>
    </w:p>
    <w:p w14:paraId="4B20C016" w14:textId="77777777" w:rsidR="00331399" w:rsidRPr="003D3862" w:rsidRDefault="00331399" w:rsidP="00331399">
      <w:pPr>
        <w:spacing w:line="240" w:lineRule="auto"/>
        <w:ind w:left="720" w:hanging="720"/>
        <w:rPr>
          <w:rFonts w:cs="Times New Roman"/>
          <w:szCs w:val="24"/>
        </w:rPr>
      </w:pPr>
      <w:proofErr w:type="spellStart"/>
      <w:r w:rsidRPr="003D3862">
        <w:rPr>
          <w:rFonts w:cs="Times New Roman"/>
          <w:szCs w:val="24"/>
        </w:rPr>
        <w:t>Olujobi</w:t>
      </w:r>
      <w:proofErr w:type="spellEnd"/>
      <w:r w:rsidRPr="003D3862">
        <w:rPr>
          <w:rFonts w:cs="Times New Roman"/>
          <w:szCs w:val="24"/>
        </w:rPr>
        <w:t>, O. J. (2021). Deregulation of the downstream petroleum industry: An overview of the legal quandaries and proposal for improvement in Nigeria. </w:t>
      </w:r>
      <w:proofErr w:type="spellStart"/>
      <w:r w:rsidRPr="003D3862">
        <w:rPr>
          <w:rFonts w:cs="Times New Roman"/>
          <w:i/>
          <w:iCs/>
          <w:szCs w:val="24"/>
        </w:rPr>
        <w:t>Heliyon</w:t>
      </w:r>
      <w:proofErr w:type="spellEnd"/>
      <w:r w:rsidRPr="003D3862">
        <w:rPr>
          <w:rFonts w:cs="Times New Roman"/>
          <w:szCs w:val="24"/>
        </w:rPr>
        <w:t>, </w:t>
      </w:r>
      <w:r w:rsidRPr="003D3862">
        <w:rPr>
          <w:rFonts w:cs="Times New Roman"/>
          <w:i/>
          <w:iCs/>
          <w:szCs w:val="24"/>
        </w:rPr>
        <w:t>7</w:t>
      </w:r>
      <w:r w:rsidRPr="003D3862">
        <w:rPr>
          <w:rFonts w:cs="Times New Roman"/>
          <w:szCs w:val="24"/>
        </w:rPr>
        <w:t>(4).</w:t>
      </w:r>
    </w:p>
    <w:p w14:paraId="4275FC03" w14:textId="77777777" w:rsidR="00331399" w:rsidRPr="003D3862" w:rsidRDefault="00331399" w:rsidP="00331399">
      <w:pPr>
        <w:spacing w:line="240" w:lineRule="auto"/>
        <w:ind w:left="720" w:hanging="720"/>
        <w:rPr>
          <w:rFonts w:cs="Times New Roman"/>
          <w:szCs w:val="24"/>
        </w:rPr>
      </w:pPr>
      <w:proofErr w:type="spellStart"/>
      <w:r w:rsidRPr="003D3862">
        <w:rPr>
          <w:rFonts w:cs="Times New Roman"/>
          <w:szCs w:val="24"/>
        </w:rPr>
        <w:t>Oyedijo</w:t>
      </w:r>
      <w:proofErr w:type="spellEnd"/>
      <w:r w:rsidRPr="003D3862">
        <w:rPr>
          <w:rFonts w:cs="Times New Roman"/>
          <w:szCs w:val="24"/>
        </w:rPr>
        <w:t xml:space="preserve">, A., Yang, Y., </w:t>
      </w:r>
      <w:proofErr w:type="spellStart"/>
      <w:r w:rsidRPr="003D3862">
        <w:rPr>
          <w:rFonts w:cs="Times New Roman"/>
          <w:szCs w:val="24"/>
        </w:rPr>
        <w:t>Koukpaki</w:t>
      </w:r>
      <w:proofErr w:type="spellEnd"/>
      <w:r w:rsidRPr="003D3862">
        <w:rPr>
          <w:rFonts w:cs="Times New Roman"/>
          <w:szCs w:val="24"/>
        </w:rPr>
        <w:t>, A. S. F., &amp; Mishra, N. (2023). The role of fairness in multi-tier sustainable supply chains. </w:t>
      </w:r>
      <w:r w:rsidRPr="003D3862">
        <w:rPr>
          <w:rFonts w:cs="Times New Roman"/>
          <w:i/>
          <w:iCs/>
          <w:szCs w:val="24"/>
        </w:rPr>
        <w:t>International Journal of Production Research</w:t>
      </w:r>
      <w:r w:rsidRPr="003D3862">
        <w:rPr>
          <w:rFonts w:cs="Times New Roman"/>
          <w:szCs w:val="24"/>
        </w:rPr>
        <w:t>, </w:t>
      </w:r>
      <w:r w:rsidRPr="003D3862">
        <w:rPr>
          <w:rFonts w:cs="Times New Roman"/>
          <w:i/>
          <w:iCs/>
          <w:szCs w:val="24"/>
        </w:rPr>
        <w:t>61</w:t>
      </w:r>
      <w:r w:rsidRPr="003D3862">
        <w:rPr>
          <w:rFonts w:cs="Times New Roman"/>
          <w:szCs w:val="24"/>
        </w:rPr>
        <w:t>(14), 4893-4917.</w:t>
      </w:r>
    </w:p>
    <w:p w14:paraId="4351C7C5" w14:textId="77777777" w:rsidR="00331399" w:rsidRPr="003D3862" w:rsidRDefault="00331399" w:rsidP="00331399">
      <w:pPr>
        <w:spacing w:line="240" w:lineRule="auto"/>
        <w:ind w:left="720" w:hanging="720"/>
        <w:rPr>
          <w:rFonts w:cs="Times New Roman"/>
          <w:szCs w:val="24"/>
        </w:rPr>
      </w:pPr>
      <w:r w:rsidRPr="003D3862">
        <w:rPr>
          <w:rFonts w:cs="Times New Roman"/>
          <w:szCs w:val="24"/>
        </w:rPr>
        <w:t xml:space="preserve">Ozdemir, S., de </w:t>
      </w:r>
      <w:proofErr w:type="spellStart"/>
      <w:r w:rsidRPr="003D3862">
        <w:rPr>
          <w:rFonts w:cs="Times New Roman"/>
          <w:szCs w:val="24"/>
        </w:rPr>
        <w:t>Arroyabe</w:t>
      </w:r>
      <w:proofErr w:type="spellEnd"/>
      <w:r w:rsidRPr="003D3862">
        <w:rPr>
          <w:rFonts w:cs="Times New Roman"/>
          <w:szCs w:val="24"/>
        </w:rPr>
        <w:t>, J. C. F., Sena, V., &amp; Gupta, S. (2023). Stakeholder diversity and collaborative innovation: Integrating the resource-based view with stakeholder theory. </w:t>
      </w:r>
      <w:r w:rsidRPr="003D3862">
        <w:rPr>
          <w:rFonts w:cs="Times New Roman"/>
          <w:i/>
          <w:iCs/>
          <w:szCs w:val="24"/>
        </w:rPr>
        <w:t>Journal of Business Research</w:t>
      </w:r>
      <w:r w:rsidRPr="003D3862">
        <w:rPr>
          <w:rFonts w:cs="Times New Roman"/>
          <w:szCs w:val="24"/>
        </w:rPr>
        <w:t>, </w:t>
      </w:r>
      <w:r w:rsidRPr="003D3862">
        <w:rPr>
          <w:rFonts w:cs="Times New Roman"/>
          <w:i/>
          <w:iCs/>
          <w:szCs w:val="24"/>
        </w:rPr>
        <w:t>164</w:t>
      </w:r>
      <w:r w:rsidRPr="003D3862">
        <w:rPr>
          <w:rFonts w:cs="Times New Roman"/>
          <w:szCs w:val="24"/>
        </w:rPr>
        <w:t>, 113955.</w:t>
      </w:r>
    </w:p>
    <w:p w14:paraId="3369B1C0" w14:textId="77777777" w:rsidR="00331399" w:rsidRPr="003D3862" w:rsidRDefault="00331399" w:rsidP="00331399">
      <w:pPr>
        <w:spacing w:line="240" w:lineRule="auto"/>
        <w:ind w:left="720" w:hanging="720"/>
        <w:rPr>
          <w:rFonts w:cs="Times New Roman"/>
          <w:szCs w:val="24"/>
        </w:rPr>
      </w:pPr>
      <w:r w:rsidRPr="003D3862">
        <w:rPr>
          <w:rFonts w:cs="Times New Roman"/>
          <w:szCs w:val="24"/>
        </w:rPr>
        <w:t>Qian, X., Chan, F. T., Zhang, J., Yin, M., &amp; Zhang, Q. (2020). Channel coordination of a two-echelon sustainable supply chain with a fair-minded retailer under cap-and-trade regulation. </w:t>
      </w:r>
      <w:r w:rsidRPr="003D3862">
        <w:rPr>
          <w:rFonts w:cs="Times New Roman"/>
          <w:i/>
          <w:iCs/>
          <w:szCs w:val="24"/>
        </w:rPr>
        <w:t>Journal of Cleaner Production</w:t>
      </w:r>
      <w:r w:rsidRPr="003D3862">
        <w:rPr>
          <w:rFonts w:cs="Times New Roman"/>
          <w:szCs w:val="24"/>
        </w:rPr>
        <w:t>, </w:t>
      </w:r>
      <w:r w:rsidRPr="003D3862">
        <w:rPr>
          <w:rFonts w:cs="Times New Roman"/>
          <w:i/>
          <w:iCs/>
          <w:szCs w:val="24"/>
        </w:rPr>
        <w:t>244</w:t>
      </w:r>
      <w:r w:rsidRPr="003D3862">
        <w:rPr>
          <w:rFonts w:cs="Times New Roman"/>
          <w:szCs w:val="24"/>
        </w:rPr>
        <w:t>, 118715.</w:t>
      </w:r>
    </w:p>
    <w:p w14:paraId="78D4DCC7" w14:textId="77777777" w:rsidR="00331399" w:rsidRPr="003D3862" w:rsidRDefault="00331399" w:rsidP="00331399">
      <w:pPr>
        <w:spacing w:line="240" w:lineRule="auto"/>
        <w:ind w:left="720" w:hanging="720"/>
        <w:rPr>
          <w:rFonts w:cs="Times New Roman"/>
          <w:szCs w:val="24"/>
        </w:rPr>
      </w:pPr>
      <w:r w:rsidRPr="003D3862">
        <w:rPr>
          <w:rFonts w:cs="Times New Roman"/>
          <w:szCs w:val="24"/>
        </w:rPr>
        <w:t>Silva, M. E., &amp; Figueiredo, M. D. (2020). Practicing sustainability for responsible business in supply chains. </w:t>
      </w:r>
      <w:r w:rsidRPr="003D3862">
        <w:rPr>
          <w:rFonts w:cs="Times New Roman"/>
          <w:i/>
          <w:iCs/>
          <w:szCs w:val="24"/>
        </w:rPr>
        <w:t>Journal of Cleaner Production</w:t>
      </w:r>
      <w:r w:rsidRPr="003D3862">
        <w:rPr>
          <w:rFonts w:cs="Times New Roman"/>
          <w:szCs w:val="24"/>
        </w:rPr>
        <w:t>, </w:t>
      </w:r>
      <w:r w:rsidRPr="003D3862">
        <w:rPr>
          <w:rFonts w:cs="Times New Roman"/>
          <w:i/>
          <w:iCs/>
          <w:szCs w:val="24"/>
        </w:rPr>
        <w:t>251</w:t>
      </w:r>
      <w:r w:rsidRPr="003D3862">
        <w:rPr>
          <w:rFonts w:cs="Times New Roman"/>
          <w:szCs w:val="24"/>
        </w:rPr>
        <w:t>, 119621.</w:t>
      </w:r>
    </w:p>
    <w:p w14:paraId="34D4A0B1" w14:textId="77777777" w:rsidR="00331399" w:rsidRDefault="00331399" w:rsidP="00331399">
      <w:pPr>
        <w:spacing w:line="240" w:lineRule="auto"/>
        <w:ind w:left="720" w:hanging="720"/>
        <w:rPr>
          <w:rFonts w:cs="Times New Roman"/>
          <w:szCs w:val="24"/>
        </w:rPr>
      </w:pPr>
      <w:r w:rsidRPr="003D3862">
        <w:rPr>
          <w:rFonts w:cs="Times New Roman"/>
          <w:szCs w:val="24"/>
        </w:rPr>
        <w:t>Vyas, P. G., Raj, R., Sen, P., Mukherjee, S., &amp; Agrawal, P. (2025). Sustainable Practices in Logistics and Supply Chain Management Enhancing Organizational Reputation: A Thematic Review. </w:t>
      </w:r>
      <w:r w:rsidRPr="003D3862">
        <w:rPr>
          <w:rFonts w:cs="Times New Roman"/>
          <w:i/>
          <w:iCs/>
          <w:szCs w:val="24"/>
        </w:rPr>
        <w:t>Transformation of Supply Chain Ecosystems: Technological Innovations and Collaborations</w:t>
      </w:r>
      <w:r w:rsidRPr="003D3862">
        <w:rPr>
          <w:rFonts w:cs="Times New Roman"/>
          <w:szCs w:val="24"/>
        </w:rPr>
        <w:t>, 199-227.</w:t>
      </w:r>
    </w:p>
    <w:p w14:paraId="4820906B" w14:textId="500A43B7" w:rsidR="000A1D3E" w:rsidRPr="005606CC" w:rsidRDefault="00331399" w:rsidP="00331399">
      <w:pPr>
        <w:spacing w:line="240" w:lineRule="auto"/>
        <w:ind w:left="720" w:hanging="720"/>
        <w:rPr>
          <w:rFonts w:cs="Times New Roman"/>
          <w:szCs w:val="24"/>
        </w:rPr>
      </w:pPr>
      <w:r w:rsidRPr="003D3862">
        <w:rPr>
          <w:rFonts w:cs="Times New Roman"/>
          <w:szCs w:val="24"/>
        </w:rPr>
        <w:t xml:space="preserve">Zhang, K., Liu, Z., &amp; Wang, P. (2020). Exploring the supply chain management of </w:t>
      </w:r>
      <w:proofErr w:type="gramStart"/>
      <w:r w:rsidRPr="003D3862">
        <w:rPr>
          <w:rFonts w:cs="Times New Roman"/>
          <w:szCs w:val="24"/>
        </w:rPr>
        <w:t>fair trade</w:t>
      </w:r>
      <w:proofErr w:type="gramEnd"/>
      <w:r w:rsidRPr="003D3862">
        <w:rPr>
          <w:rFonts w:cs="Times New Roman"/>
          <w:szCs w:val="24"/>
        </w:rPr>
        <w:t xml:space="preserve"> business: </w:t>
      </w:r>
      <w:r>
        <w:rPr>
          <w:rFonts w:cs="Times New Roman"/>
          <w:szCs w:val="24"/>
        </w:rPr>
        <w:t>C</w:t>
      </w:r>
      <w:r w:rsidRPr="003D3862">
        <w:rPr>
          <w:rFonts w:cs="Times New Roman"/>
          <w:szCs w:val="24"/>
        </w:rPr>
        <w:t xml:space="preserve">ase study of a </w:t>
      </w:r>
      <w:proofErr w:type="gramStart"/>
      <w:r w:rsidRPr="003D3862">
        <w:rPr>
          <w:rFonts w:cs="Times New Roman"/>
          <w:szCs w:val="24"/>
        </w:rPr>
        <w:t>fair trade</w:t>
      </w:r>
      <w:proofErr w:type="gramEnd"/>
      <w:r w:rsidRPr="003D3862">
        <w:rPr>
          <w:rFonts w:cs="Times New Roman"/>
          <w:szCs w:val="24"/>
        </w:rPr>
        <w:t xml:space="preserve"> craft company in China. </w:t>
      </w:r>
      <w:r w:rsidRPr="003D3862">
        <w:rPr>
          <w:rFonts w:cs="Times New Roman"/>
          <w:i/>
          <w:iCs/>
          <w:szCs w:val="24"/>
        </w:rPr>
        <w:t>Cogent Business &amp; Management</w:t>
      </w:r>
      <w:r w:rsidRPr="003D3862">
        <w:rPr>
          <w:rFonts w:cs="Times New Roman"/>
          <w:szCs w:val="24"/>
        </w:rPr>
        <w:t>, </w:t>
      </w:r>
      <w:r w:rsidRPr="003D3862">
        <w:rPr>
          <w:rFonts w:cs="Times New Roman"/>
          <w:i/>
          <w:iCs/>
          <w:szCs w:val="24"/>
        </w:rPr>
        <w:t>7</w:t>
      </w:r>
      <w:r w:rsidRPr="003D3862">
        <w:rPr>
          <w:rFonts w:cs="Times New Roman"/>
          <w:szCs w:val="24"/>
        </w:rPr>
        <w:t>(1), 1734345.</w:t>
      </w:r>
    </w:p>
    <w:p w14:paraId="750B9058" w14:textId="77777777" w:rsidR="00AD7209" w:rsidRDefault="00AD7209"/>
    <w:sectPr w:rsidR="00AD7209" w:rsidSect="00331399">
      <w:headerReference w:type="default" r:id="rId6"/>
      <w:footerReference w:type="default" r:id="rId7"/>
      <w:pgSz w:w="12240" w:h="15840"/>
      <w:pgMar w:top="1440" w:right="1440" w:bottom="1440" w:left="1440" w:header="708" w:footer="708" w:gutter="0"/>
      <w:pgNumType w:start="16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997661"/>
      <w:docPartObj>
        <w:docPartGallery w:val="Page Numbers (Bottom of Page)"/>
        <w:docPartUnique/>
      </w:docPartObj>
    </w:sdtPr>
    <w:sdtEndPr>
      <w:rPr>
        <w:noProof/>
      </w:rPr>
    </w:sdtEndPr>
    <w:sdtContent>
      <w:p w14:paraId="13C773C4" w14:textId="77777777" w:rsidR="000A1D3E" w:rsidRDefault="000A1D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B0EE0F" w14:textId="77777777" w:rsidR="000A1D3E" w:rsidRDefault="000A1D3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5002" w14:textId="77777777" w:rsidR="000A1D3E" w:rsidRDefault="000A1D3E" w:rsidP="00F94F11">
    <w:pPr>
      <w:spacing w:after="0"/>
      <w:rPr>
        <w:b/>
        <w:szCs w:val="24"/>
      </w:rPr>
    </w:pPr>
    <w:r w:rsidRPr="005E10A7">
      <w:rPr>
        <w:sz w:val="16"/>
        <w:szCs w:val="16"/>
      </w:rPr>
      <w:t>ACU Journal of Social and Management Sciences</w:t>
    </w:r>
    <w:r>
      <w:rPr>
        <w:sz w:val="16"/>
        <w:szCs w:val="16"/>
      </w:rPr>
      <w:tab/>
    </w:r>
    <w:r>
      <w:rPr>
        <w:sz w:val="16"/>
        <w:szCs w:val="16"/>
      </w:rPr>
      <w:tab/>
    </w:r>
    <w:r>
      <w:rPr>
        <w:sz w:val="16"/>
        <w:szCs w:val="16"/>
      </w:rPr>
      <w:tab/>
    </w:r>
    <w:r>
      <w:rPr>
        <w:sz w:val="16"/>
        <w:szCs w:val="16"/>
      </w:rPr>
      <w:tab/>
      <w:t>AJSAMS</w:t>
    </w:r>
    <w:r>
      <w:rPr>
        <w:sz w:val="16"/>
        <w:szCs w:val="16"/>
      </w:rPr>
      <w:tab/>
    </w:r>
    <w:r>
      <w:rPr>
        <w:sz w:val="16"/>
        <w:szCs w:val="16"/>
      </w:rPr>
      <w:tab/>
    </w:r>
    <w:r>
      <w:rPr>
        <w:sz w:val="16"/>
        <w:szCs w:val="16"/>
      </w:rPr>
      <w:tab/>
      <w:t>Vol 5/No1 April 2024</w:t>
    </w:r>
  </w:p>
  <w:p w14:paraId="19FC3E96" w14:textId="77777777" w:rsidR="000A1D3E" w:rsidRDefault="000A1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221ED"/>
    <w:multiLevelType w:val="multilevel"/>
    <w:tmpl w:val="ED5A4E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715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3E"/>
    <w:rsid w:val="000A1D3E"/>
    <w:rsid w:val="003129EE"/>
    <w:rsid w:val="00331399"/>
    <w:rsid w:val="004216BB"/>
    <w:rsid w:val="00673CC5"/>
    <w:rsid w:val="00AD7209"/>
    <w:rsid w:val="00E2196E"/>
    <w:rsid w:val="00F4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3ECA"/>
  <w15:chartTrackingRefBased/>
  <w15:docId w15:val="{A4D61347-4F52-495E-9660-5A6910150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D3E"/>
    <w:pPr>
      <w:spacing w:line="256" w:lineRule="auto"/>
      <w:jc w:val="both"/>
    </w:pPr>
    <w:rPr>
      <w:rFonts w:ascii="Times New Roman" w:hAnsi="Times New Roman"/>
      <w:kern w:val="0"/>
      <w:sz w:val="24"/>
      <w:lang w:val="en-GB"/>
      <w14:ligatures w14:val="none"/>
    </w:rPr>
  </w:style>
  <w:style w:type="paragraph" w:styleId="Heading1">
    <w:name w:val="heading 1"/>
    <w:basedOn w:val="Normal"/>
    <w:link w:val="Heading1Char"/>
    <w:autoRedefine/>
    <w:uiPriority w:val="9"/>
    <w:qFormat/>
    <w:rsid w:val="00F441FF"/>
    <w:pPr>
      <w:widowControl w:val="0"/>
      <w:autoSpaceDE w:val="0"/>
      <w:autoSpaceDN w:val="0"/>
      <w:spacing w:after="0" w:line="240" w:lineRule="auto"/>
      <w:ind w:left="23"/>
      <w:jc w:val="center"/>
      <w:outlineLvl w:val="0"/>
    </w:pPr>
    <w:rPr>
      <w:rFonts w:eastAsia="Times New Roman" w:cs="Times New Roman"/>
      <w:b/>
      <w:bCs/>
      <w:sz w:val="32"/>
      <w:szCs w:val="24"/>
    </w:rPr>
  </w:style>
  <w:style w:type="paragraph" w:styleId="Heading2">
    <w:name w:val="heading 2"/>
    <w:basedOn w:val="Normal"/>
    <w:next w:val="Normal"/>
    <w:link w:val="Heading2Char"/>
    <w:autoRedefine/>
    <w:uiPriority w:val="9"/>
    <w:semiHidden/>
    <w:unhideWhenUsed/>
    <w:qFormat/>
    <w:rsid w:val="00F441FF"/>
    <w:pPr>
      <w:keepNext/>
      <w:keepLines/>
      <w:widowControl w:val="0"/>
      <w:autoSpaceDE w:val="0"/>
      <w:autoSpaceDN w:val="0"/>
      <w:spacing w:before="40" w:after="0" w:line="240" w:lineRule="auto"/>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0A1D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1D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1D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1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FF"/>
    <w:rPr>
      <w:rFonts w:ascii="Times New Roman" w:eastAsia="Times New Roman" w:hAnsi="Times New Roman" w:cs="Times New Roman"/>
      <w:b/>
      <w:bCs/>
      <w:sz w:val="32"/>
      <w:szCs w:val="24"/>
    </w:rPr>
  </w:style>
  <w:style w:type="character" w:customStyle="1" w:styleId="Heading2Char">
    <w:name w:val="Heading 2 Char"/>
    <w:basedOn w:val="DefaultParagraphFont"/>
    <w:link w:val="Heading2"/>
    <w:uiPriority w:val="9"/>
    <w:semiHidden/>
    <w:rsid w:val="00F441FF"/>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uiPriority w:val="9"/>
    <w:semiHidden/>
    <w:rsid w:val="000A1D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1D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1D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1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D3E"/>
    <w:rPr>
      <w:rFonts w:eastAsiaTheme="majorEastAsia" w:cstheme="majorBidi"/>
      <w:color w:val="272727" w:themeColor="text1" w:themeTint="D8"/>
    </w:rPr>
  </w:style>
  <w:style w:type="paragraph" w:styleId="Title">
    <w:name w:val="Title"/>
    <w:basedOn w:val="Normal"/>
    <w:next w:val="Normal"/>
    <w:link w:val="TitleChar"/>
    <w:uiPriority w:val="10"/>
    <w:qFormat/>
    <w:rsid w:val="000A1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D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D3E"/>
    <w:pPr>
      <w:spacing w:before="160"/>
      <w:jc w:val="center"/>
    </w:pPr>
    <w:rPr>
      <w:i/>
      <w:iCs/>
      <w:color w:val="404040" w:themeColor="text1" w:themeTint="BF"/>
    </w:rPr>
  </w:style>
  <w:style w:type="character" w:customStyle="1" w:styleId="QuoteChar">
    <w:name w:val="Quote Char"/>
    <w:basedOn w:val="DefaultParagraphFont"/>
    <w:link w:val="Quote"/>
    <w:uiPriority w:val="29"/>
    <w:rsid w:val="000A1D3E"/>
    <w:rPr>
      <w:i/>
      <w:iCs/>
      <w:color w:val="404040" w:themeColor="text1" w:themeTint="BF"/>
    </w:rPr>
  </w:style>
  <w:style w:type="paragraph" w:styleId="ListParagraph">
    <w:name w:val="List Paragraph"/>
    <w:basedOn w:val="Normal"/>
    <w:uiPriority w:val="34"/>
    <w:qFormat/>
    <w:rsid w:val="000A1D3E"/>
    <w:pPr>
      <w:ind w:left="720"/>
      <w:contextualSpacing/>
    </w:pPr>
  </w:style>
  <w:style w:type="character" w:styleId="IntenseEmphasis">
    <w:name w:val="Intense Emphasis"/>
    <w:basedOn w:val="DefaultParagraphFont"/>
    <w:uiPriority w:val="21"/>
    <w:qFormat/>
    <w:rsid w:val="000A1D3E"/>
    <w:rPr>
      <w:i/>
      <w:iCs/>
      <w:color w:val="2F5496" w:themeColor="accent1" w:themeShade="BF"/>
    </w:rPr>
  </w:style>
  <w:style w:type="paragraph" w:styleId="IntenseQuote">
    <w:name w:val="Intense Quote"/>
    <w:basedOn w:val="Normal"/>
    <w:next w:val="Normal"/>
    <w:link w:val="IntenseQuoteChar"/>
    <w:uiPriority w:val="30"/>
    <w:qFormat/>
    <w:rsid w:val="000A1D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1D3E"/>
    <w:rPr>
      <w:i/>
      <w:iCs/>
      <w:color w:val="2F5496" w:themeColor="accent1" w:themeShade="BF"/>
    </w:rPr>
  </w:style>
  <w:style w:type="character" w:styleId="IntenseReference">
    <w:name w:val="Intense Reference"/>
    <w:basedOn w:val="DefaultParagraphFont"/>
    <w:uiPriority w:val="32"/>
    <w:qFormat/>
    <w:rsid w:val="000A1D3E"/>
    <w:rPr>
      <w:b/>
      <w:bCs/>
      <w:smallCaps/>
      <w:color w:val="2F5496" w:themeColor="accent1" w:themeShade="BF"/>
      <w:spacing w:val="5"/>
    </w:rPr>
  </w:style>
  <w:style w:type="paragraph" w:styleId="Header">
    <w:name w:val="header"/>
    <w:basedOn w:val="Normal"/>
    <w:link w:val="HeaderChar"/>
    <w:uiPriority w:val="99"/>
    <w:unhideWhenUsed/>
    <w:rsid w:val="000A1D3E"/>
    <w:pPr>
      <w:tabs>
        <w:tab w:val="center" w:pos="4680"/>
        <w:tab w:val="right" w:pos="9360"/>
      </w:tabs>
      <w:spacing w:after="0" w:line="240" w:lineRule="auto"/>
      <w:jc w:val="left"/>
    </w:pPr>
    <w:rPr>
      <w:rFonts w:asciiTheme="minorHAnsi" w:hAnsiTheme="minorHAnsi"/>
      <w:sz w:val="22"/>
      <w:lang w:val="en-US"/>
    </w:rPr>
  </w:style>
  <w:style w:type="character" w:customStyle="1" w:styleId="HeaderChar">
    <w:name w:val="Header Char"/>
    <w:basedOn w:val="DefaultParagraphFont"/>
    <w:link w:val="Header"/>
    <w:uiPriority w:val="99"/>
    <w:rsid w:val="000A1D3E"/>
    <w:rPr>
      <w:kern w:val="0"/>
      <w14:ligatures w14:val="none"/>
    </w:rPr>
  </w:style>
  <w:style w:type="paragraph" w:styleId="Footer">
    <w:name w:val="footer"/>
    <w:basedOn w:val="Normal"/>
    <w:link w:val="FooterChar"/>
    <w:uiPriority w:val="99"/>
    <w:unhideWhenUsed/>
    <w:rsid w:val="000A1D3E"/>
    <w:pPr>
      <w:tabs>
        <w:tab w:val="center" w:pos="4680"/>
        <w:tab w:val="right" w:pos="9360"/>
      </w:tabs>
      <w:spacing w:after="0" w:line="240" w:lineRule="auto"/>
      <w:jc w:val="left"/>
    </w:pPr>
    <w:rPr>
      <w:rFonts w:asciiTheme="minorHAnsi" w:hAnsiTheme="minorHAnsi"/>
      <w:sz w:val="22"/>
      <w:lang w:val="en-US"/>
    </w:rPr>
  </w:style>
  <w:style w:type="character" w:customStyle="1" w:styleId="FooterChar">
    <w:name w:val="Footer Char"/>
    <w:basedOn w:val="DefaultParagraphFont"/>
    <w:link w:val="Footer"/>
    <w:uiPriority w:val="99"/>
    <w:rsid w:val="000A1D3E"/>
    <w:rPr>
      <w:kern w:val="0"/>
      <w14:ligatures w14:val="none"/>
    </w:rPr>
  </w:style>
  <w:style w:type="character" w:styleId="Hyperlink">
    <w:name w:val="Hyperlink"/>
    <w:basedOn w:val="DefaultParagraphFont"/>
    <w:uiPriority w:val="99"/>
    <w:unhideWhenUsed/>
    <w:rsid w:val="000A1D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doi.org/10.52589/AJENSR-ZUYUAY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3865</Words>
  <Characters>22031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2026-01-29T12:24:00Z</dcterms:created>
  <dcterms:modified xsi:type="dcterms:W3CDTF">2026-01-29T12:44:00Z</dcterms:modified>
</cp:coreProperties>
</file>