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1B1" w14:textId="6BC7381C" w:rsidR="00590FE6" w:rsidRPr="00F32D0D" w:rsidRDefault="00F32D0D" w:rsidP="00F32D0D">
      <w:pPr>
        <w:spacing w:line="240" w:lineRule="auto"/>
        <w:rPr>
          <w:rFonts w:cs="Times New Roman"/>
          <w:b/>
          <w:bCs/>
          <w:szCs w:val="24"/>
        </w:rPr>
      </w:pPr>
      <w:r w:rsidRPr="0086360E">
        <w:rPr>
          <w:rFonts w:cs="Times New Roman"/>
          <w:b/>
          <w:bCs/>
          <w:szCs w:val="24"/>
        </w:rPr>
        <w:t>EFFECT OF RELATIONSHIP MARKETING STRATEGY ON PERFORMANCE OF SELECTED NIGERIAN DEPOSIT MONEY BANKS IN LAGOS STATE, NIGERIA</w:t>
      </w:r>
      <w:r w:rsidR="00590FE6" w:rsidRPr="001B27EC">
        <w:t xml:space="preserve">                                       </w:t>
      </w:r>
    </w:p>
    <w:p w14:paraId="588C9F9C" w14:textId="205AA272" w:rsidR="00590FE6" w:rsidRPr="002016C2" w:rsidRDefault="00590FE6" w:rsidP="00590FE6">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w:t>
      </w:r>
      <w:r w:rsidR="00F32D0D">
        <w:rPr>
          <w:szCs w:val="24"/>
        </w:rPr>
        <w:t>AYANKOLA</w:t>
      </w:r>
      <w:r>
        <w:rPr>
          <w:szCs w:val="24"/>
        </w:rPr>
        <w:t xml:space="preserve">, </w:t>
      </w:r>
      <w:r w:rsidR="00F32D0D">
        <w:rPr>
          <w:szCs w:val="24"/>
        </w:rPr>
        <w:t>A</w:t>
      </w:r>
      <w:r>
        <w:rPr>
          <w:szCs w:val="24"/>
        </w:rPr>
        <w:t xml:space="preserve">. </w:t>
      </w:r>
      <w:r w:rsidR="00F32D0D">
        <w:rPr>
          <w:szCs w:val="24"/>
        </w:rPr>
        <w:t>A</w:t>
      </w:r>
      <w:r>
        <w:rPr>
          <w:szCs w:val="24"/>
        </w:rPr>
        <w:t xml:space="preserve">. and </w:t>
      </w:r>
      <w:r w:rsidR="00F32D0D">
        <w:rPr>
          <w:szCs w:val="24"/>
        </w:rPr>
        <w:t>OLAJIDE</w:t>
      </w:r>
      <w:r>
        <w:rPr>
          <w:szCs w:val="24"/>
        </w:rPr>
        <w:t xml:space="preserve">, </w:t>
      </w:r>
      <w:r w:rsidR="00F32D0D">
        <w:rPr>
          <w:szCs w:val="24"/>
        </w:rPr>
        <w:t>O</w:t>
      </w:r>
      <w:r>
        <w:rPr>
          <w:szCs w:val="24"/>
        </w:rPr>
        <w:t xml:space="preserve">. </w:t>
      </w:r>
      <w:r w:rsidR="00F32D0D">
        <w:rPr>
          <w:szCs w:val="24"/>
        </w:rPr>
        <w:t>F</w:t>
      </w:r>
      <w:r>
        <w:rPr>
          <w:szCs w:val="24"/>
        </w:rPr>
        <w:t>.</w:t>
      </w:r>
    </w:p>
    <w:p w14:paraId="25D41B7C" w14:textId="4A7805D2" w:rsidR="00590FE6" w:rsidRPr="004D7DF4" w:rsidRDefault="00590FE6" w:rsidP="00590FE6">
      <w:pPr>
        <w:spacing w:after="0" w:line="240" w:lineRule="auto"/>
        <w:rPr>
          <w:rFonts w:cs="Times New Roman"/>
          <w:b/>
          <w:sz w:val="22"/>
        </w:rPr>
      </w:pPr>
      <w:r w:rsidRPr="002016C2">
        <w:rPr>
          <w:b/>
          <w:szCs w:val="24"/>
        </w:rPr>
        <w:t xml:space="preserve">Abstract: </w:t>
      </w:r>
      <w:r w:rsidR="00F32D0D" w:rsidRPr="00F32D0D">
        <w:rPr>
          <w:rFonts w:cs="Times New Roman"/>
          <w:i/>
          <w:iCs/>
          <w:sz w:val="20"/>
          <w:szCs w:val="20"/>
        </w:rPr>
        <w:t>Relationship marketing has been identified as a crucial driver of performance in the banking industry. Despite its significance, limited empirical attention has been given to how relationship marketing dimensions such as trust, commitment, and conflict handling affect the performance of deposit money banks in Nigeria. Therefore, this study investigated the effect of relationship marketing strategy on the performance of selected Nigerian deposit money banks in Lagos State. The study adopted a cross-sectional survey research design. The population comprised a total of 63,956 employees from selected fourteen (14) licensed deposit money banks in Lagos State, Nigeria.  Using the Taro Yame formula, a sample of 443 respondents was determined and selected through a stratified random sampling technique. A structured questionnaire was the main instrument for data collection. Descriptive statistics were used to summarize responses on demographic and perception variables, while Multivariate Analysis of Variance (MANOVA) was employed to test the hypotheses at a 5% level of significance. Findings revealed that trust had a positive and significant effect on customer satisfaction (p = 0.034), market competitiveness (p = 0.026), and operational efficiency (p = 0.003). Similarly, commitment had a positive significant relationship with customer satisfaction (p = 0.001), market competitiveness (p &lt; 0.001), and operational efficiency (p &lt; 0.001). In addition, conflict handling showed a strong positive significant effect on customer satisfaction (p &lt; 0.001), market competitiveness (p &lt; 0.001), and operational efficiency (p &lt; 0.001). The results indicated that effective trust-building, strong employee and management commitment, and efficient conflict resolution mechanisms collectively enhance the overall performance of deposit money banks. The study concluded that relationship marketing dimensions (trust, commitment, and conflict handling) are significant predictors of organizational performance among Nigerian deposit money banks. It further concluded that banks with higher levels of customer trust, greater commitment, and proactive conflict management practices tend to achieve superior customer satisfaction, stronger market competitiveness, and improved operational efficiency. The study recommended that bank management should strengthen relationship marketing strategies by building trust-based customer relations, fostering staff commitment, and implementing effective conflict handling systems to sustain competitive advantage in the banking sector.</w:t>
      </w:r>
      <w:r w:rsidRPr="004D7DF4">
        <w:rPr>
          <w:rFonts w:cs="Times New Roman"/>
          <w:i/>
          <w:iCs/>
          <w:sz w:val="22"/>
        </w:rPr>
        <w:t xml:space="preserve"> </w:t>
      </w:r>
    </w:p>
    <w:p w14:paraId="552F2888" w14:textId="5CD44153" w:rsidR="00590FE6" w:rsidRDefault="00590FE6" w:rsidP="00590FE6">
      <w:pPr>
        <w:spacing w:after="0" w:line="240" w:lineRule="auto"/>
        <w:rPr>
          <w:rFonts w:cs="Times New Roman"/>
          <w:szCs w:val="24"/>
        </w:rPr>
      </w:pPr>
      <w:r w:rsidRPr="004D7DF4">
        <w:rPr>
          <w:rFonts w:cs="Times New Roman"/>
          <w:b/>
          <w:sz w:val="22"/>
        </w:rPr>
        <w:t>Keywords:</w:t>
      </w:r>
      <w:r w:rsidRPr="004D7DF4">
        <w:rPr>
          <w:rFonts w:cs="Times New Roman"/>
          <w:sz w:val="22"/>
        </w:rPr>
        <w:t xml:space="preserve"> </w:t>
      </w:r>
      <w:r w:rsidR="00F32D0D" w:rsidRPr="00F32D0D">
        <w:rPr>
          <w:rFonts w:cs="Times New Roman"/>
          <w:sz w:val="22"/>
        </w:rPr>
        <w:t>Commitment, Customer Satisfaction, Market Competitiveness, Conflict Handling, Operational Efficiency</w:t>
      </w:r>
    </w:p>
    <w:p w14:paraId="67E5106A" w14:textId="77777777" w:rsidR="00CC0D14" w:rsidRPr="0086360E" w:rsidRDefault="00CC0D14" w:rsidP="00CC0D14">
      <w:pPr>
        <w:spacing w:line="240" w:lineRule="auto"/>
        <w:rPr>
          <w:rFonts w:cs="Times New Roman"/>
          <w:b/>
          <w:szCs w:val="24"/>
        </w:rPr>
      </w:pPr>
      <w:r w:rsidRPr="0086360E">
        <w:rPr>
          <w:rFonts w:cs="Times New Roman"/>
          <w:b/>
          <w:szCs w:val="24"/>
        </w:rPr>
        <w:t>Introduction</w:t>
      </w:r>
    </w:p>
    <w:p w14:paraId="59B3957D" w14:textId="77777777" w:rsidR="00CC0D14" w:rsidRPr="0086360E" w:rsidRDefault="00CC0D14" w:rsidP="00CC0D14">
      <w:pPr>
        <w:spacing w:after="240" w:line="240" w:lineRule="auto"/>
        <w:rPr>
          <w:rFonts w:cs="Times New Roman"/>
          <w:szCs w:val="24"/>
        </w:rPr>
      </w:pPr>
      <w:r w:rsidRPr="0086360E">
        <w:rPr>
          <w:rFonts w:cs="Times New Roman"/>
          <w:szCs w:val="24"/>
        </w:rPr>
        <w:t>Deposit money banks are integral to the economic development of nations, serving as intermediaries that facilitate the flow of funds between savers and borrowers (Youssef, 2024). In Nigeria, the banking sector has undergone significant transformations, particularly following the 2005 consolidation exercise aimed at enhancing the sector's competitiveness and resilience (Uddin et al., 2021). Despite these efforts, Nigerian commercial banks continue to face challenges such as low customer retention rates, high operational costs, and intense competition from both traditional and non-traditional financial institutions (Akanni, 2019; Ajibola, 2015). These issues underscore the need for banks to adopt more effective strategies which among others include relationship marketing, to enhance their performance and sustain long-term growth.</w:t>
      </w:r>
    </w:p>
    <w:p w14:paraId="597AB43A" w14:textId="77777777" w:rsidR="00CC0D14" w:rsidRPr="0086360E" w:rsidRDefault="00CC0D14" w:rsidP="00CC0D14">
      <w:pPr>
        <w:spacing w:after="240" w:line="240" w:lineRule="auto"/>
        <w:rPr>
          <w:rFonts w:cs="Times New Roman"/>
          <w:szCs w:val="24"/>
        </w:rPr>
      </w:pPr>
      <w:r w:rsidRPr="0086360E">
        <w:rPr>
          <w:rFonts w:cs="Times New Roman"/>
          <w:szCs w:val="24"/>
        </w:rPr>
        <w:t xml:space="preserve">Relationship marketing (RM) focuses on building long-term relationships with customers by emphasizing trust, commitment, communication, and conflict handling (Alberico &amp; Joaquim, 2023). These components are designed to foster customer loyalty, enhance satisfaction, and ultimately improve organizational performance (Arinzechukwu et al., 2024; Santiago et al., 2024). In the context of Nigerian commercial banks, RM offers a framework for transforming transactional interactions into relational engagements, thereby creating value for both the bank and its customers (Sakariya, 2016). However, the performance of commercial banks encompasses financial metrics such as profitability and market share, as well as non-financial indicators like customer satisfaction, operational efficiency, market competitiveness etc (Uduak &amp; Ubong, 2015; </w:t>
      </w:r>
      <w:r w:rsidRPr="0086360E">
        <w:rPr>
          <w:rFonts w:cs="Times New Roman"/>
          <w:szCs w:val="24"/>
        </w:rPr>
        <w:lastRenderedPageBreak/>
        <w:t>Ibrahim &amp;</w:t>
      </w:r>
      <w:proofErr w:type="spellStart"/>
      <w:r w:rsidRPr="0086360E">
        <w:rPr>
          <w:rFonts w:cs="Times New Roman"/>
          <w:szCs w:val="24"/>
        </w:rPr>
        <w:t>Obuba</w:t>
      </w:r>
      <w:proofErr w:type="spellEnd"/>
      <w:r w:rsidRPr="0086360E">
        <w:rPr>
          <w:rFonts w:cs="Times New Roman"/>
          <w:szCs w:val="24"/>
        </w:rPr>
        <w:t>, 2023). While financial performance remains a critical aspect, non-financial metrics have gained prominence in assessing the overall effectiveness of banks. RM strategies, by focusing on customer relationships, are posited to positively influence these non-financial performance indicators, leading to improved overall performance (Sakariya, 2016).</w:t>
      </w:r>
    </w:p>
    <w:p w14:paraId="5360EA6A" w14:textId="77777777" w:rsidR="00CC0D14" w:rsidRPr="0086360E" w:rsidRDefault="00CC0D14" w:rsidP="00CC0D14">
      <w:pPr>
        <w:spacing w:after="240" w:line="240" w:lineRule="auto"/>
        <w:rPr>
          <w:rFonts w:cs="Times New Roman"/>
          <w:szCs w:val="24"/>
        </w:rPr>
      </w:pPr>
      <w:r w:rsidRPr="0086360E">
        <w:rPr>
          <w:rFonts w:cs="Times New Roman"/>
          <w:szCs w:val="24"/>
        </w:rPr>
        <w:t>Prior studies explored the relationship between RM and performance in various contexts. Studies have shown that elements of RM, such as trust and commitment, significantly impact customer loyalty and satisfaction, which in turn affect organizational performance (</w:t>
      </w:r>
      <w:proofErr w:type="spellStart"/>
      <w:r w:rsidRPr="0086360E">
        <w:rPr>
          <w:rFonts w:cs="Times New Roman"/>
          <w:szCs w:val="24"/>
        </w:rPr>
        <w:t>Akinade</w:t>
      </w:r>
      <w:proofErr w:type="spellEnd"/>
      <w:r w:rsidRPr="0086360E">
        <w:rPr>
          <w:rFonts w:cs="Times New Roman"/>
          <w:szCs w:val="24"/>
        </w:rPr>
        <w:t xml:space="preserve">, 2023; Iddrisu &amp; Mahama, 2021; </w:t>
      </w:r>
      <w:proofErr w:type="spellStart"/>
      <w:r w:rsidRPr="0086360E">
        <w:rPr>
          <w:rFonts w:cs="Times New Roman"/>
          <w:szCs w:val="24"/>
        </w:rPr>
        <w:t>Ojiaku</w:t>
      </w:r>
      <w:proofErr w:type="spellEnd"/>
      <w:r w:rsidRPr="0086360E">
        <w:rPr>
          <w:rFonts w:cs="Times New Roman"/>
          <w:szCs w:val="24"/>
        </w:rPr>
        <w:t xml:space="preserve"> et al., 2017). However, there is a paucity of empirical studies focusing on Nigerian deposit money banks, particularly from the employees' perspective. This gap presents an opportunity to investigate how RM strategies are perceived and implemented by bank employees and how these perceptions influence the banks' performance with respect to customer satisfaction, market competitiveness, and operational efficiency. Therefore, this study aims to </w:t>
      </w:r>
      <w:proofErr w:type="spellStart"/>
      <w:r w:rsidRPr="0086360E">
        <w:rPr>
          <w:rFonts w:cs="Times New Roman"/>
          <w:szCs w:val="24"/>
        </w:rPr>
        <w:t>analyze</w:t>
      </w:r>
      <w:proofErr w:type="spellEnd"/>
      <w:r w:rsidRPr="0086360E">
        <w:rPr>
          <w:rFonts w:cs="Times New Roman"/>
          <w:szCs w:val="24"/>
        </w:rPr>
        <w:t xml:space="preserve"> the effect of RM strategies on the performance of selected deposit money banks in Lagos State, Nigeria. By focusing on the perspectives of bank employees, the research seeks to provide insights into the effectiveness of RM components in enhancing bank performance. </w:t>
      </w:r>
    </w:p>
    <w:p w14:paraId="480DBA13" w14:textId="77777777" w:rsidR="00CC0D14" w:rsidRPr="0086360E" w:rsidRDefault="00CC0D14" w:rsidP="00CC0D14">
      <w:pPr>
        <w:spacing w:line="240" w:lineRule="auto"/>
        <w:rPr>
          <w:rFonts w:cs="Times New Roman"/>
          <w:b/>
          <w:szCs w:val="24"/>
        </w:rPr>
      </w:pPr>
      <w:r w:rsidRPr="0086360E">
        <w:rPr>
          <w:rFonts w:cs="Times New Roman"/>
          <w:b/>
          <w:szCs w:val="24"/>
        </w:rPr>
        <w:t>Literature Review</w:t>
      </w:r>
    </w:p>
    <w:p w14:paraId="51A85560" w14:textId="77777777" w:rsidR="00CC0D14" w:rsidRPr="0086360E" w:rsidRDefault="00CC0D14" w:rsidP="00CC0D14">
      <w:pPr>
        <w:spacing w:after="240" w:line="240" w:lineRule="auto"/>
        <w:rPr>
          <w:rFonts w:cs="Times New Roman"/>
          <w:szCs w:val="24"/>
        </w:rPr>
      </w:pPr>
      <w:r w:rsidRPr="0086360E">
        <w:rPr>
          <w:rFonts w:cs="Times New Roman"/>
          <w:szCs w:val="24"/>
        </w:rPr>
        <w:t>Trust is foundational in banking relationships, as it determines the degree to which customers believe in the reliability, honesty, and integrity of the bank (</w:t>
      </w:r>
      <w:proofErr w:type="spellStart"/>
      <w:proofErr w:type="gramStart"/>
      <w:r w:rsidRPr="0086360E">
        <w:rPr>
          <w:rFonts w:cs="Times New Roman"/>
          <w:szCs w:val="24"/>
        </w:rPr>
        <w:t>Zsigmondova</w:t>
      </w:r>
      <w:proofErr w:type="spellEnd"/>
      <w:r w:rsidRPr="0086360E">
        <w:rPr>
          <w:rFonts w:cs="Times New Roman"/>
          <w:szCs w:val="24"/>
        </w:rPr>
        <w:t xml:space="preserve">  et al.</w:t>
      </w:r>
      <w:proofErr w:type="gramEnd"/>
      <w:r w:rsidRPr="0086360E">
        <w:rPr>
          <w:rFonts w:cs="Times New Roman"/>
          <w:szCs w:val="24"/>
        </w:rPr>
        <w:t xml:space="preserve">, 2021). A lack of trust can lead to reduced customer confidence, lower transaction volumes, and reluctance to engage with additional banking services, thereby negatively affecting overall performance (Roberts-Lombard et al., 2013). Commitment, on the other hand, reflects the </w:t>
      </w:r>
      <w:proofErr w:type="gramStart"/>
      <w:r w:rsidRPr="0086360E">
        <w:rPr>
          <w:rFonts w:cs="Times New Roman"/>
          <w:szCs w:val="24"/>
        </w:rPr>
        <w:t>bank’s</w:t>
      </w:r>
      <w:proofErr w:type="gramEnd"/>
      <w:r w:rsidRPr="0086360E">
        <w:rPr>
          <w:rFonts w:cs="Times New Roman"/>
          <w:szCs w:val="24"/>
        </w:rPr>
        <w:t xml:space="preserve"> and employees’ willingness to maintain long-term relationships with customers (Roberts-Lombard et al., 2013). Studies suggest that high levels of commitment can foster loyalty and repeated patronage, whereas weak commitment may result in customers switching to competing banks that demonstrate greater dedication to their needs (Lo et al., 2024; Tai et al., 2024). Conflict handling, as a strategic component, involves effectively addressing customer complaints and resolving disputes in a timely and satisfactory manner (Sammour, 2022). Poor conflict management has been shown to reduce customer satisfaction and increase attrition, which can diminish market share and erode competitive positioning (Sammour, 2022). In the Nigerian context, despite the adoption of modern banking technologies and operational reforms, many commercial banks still experience challenges in implementing these relationship marketing strategies effectively. This has implications for non-financial performance metrics such as customer satisfaction, market competitiveness, and overall productivity. Customers and stakeholders who perceive insufficient attention to relationship management may reduce their engagement, switch to alternative banks, or fail to utilize additional banking services, thereby undermining the market position of the banks (Mosa, 2022).</w:t>
      </w:r>
    </w:p>
    <w:p w14:paraId="41E021FC" w14:textId="77777777" w:rsidR="00CC0D14" w:rsidRPr="0086360E" w:rsidRDefault="00CC0D14" w:rsidP="00CC0D14">
      <w:pPr>
        <w:spacing w:after="240" w:line="240" w:lineRule="auto"/>
        <w:rPr>
          <w:rFonts w:cs="Times New Roman"/>
          <w:szCs w:val="24"/>
        </w:rPr>
      </w:pPr>
      <w:r w:rsidRPr="0086360E">
        <w:rPr>
          <w:rFonts w:cs="Times New Roman"/>
          <w:szCs w:val="24"/>
        </w:rPr>
        <w:t xml:space="preserve">Ramesh et al. (2022) examine the real effects of social trust and related corporate social responsibility (CSR) </w:t>
      </w:r>
      <w:proofErr w:type="spellStart"/>
      <w:r w:rsidRPr="0086360E">
        <w:rPr>
          <w:rFonts w:cs="Times New Roman"/>
          <w:szCs w:val="24"/>
        </w:rPr>
        <w:t>behavior</w:t>
      </w:r>
      <w:proofErr w:type="spellEnd"/>
      <w:r w:rsidRPr="0086360E">
        <w:rPr>
          <w:rFonts w:cs="Times New Roman"/>
          <w:szCs w:val="24"/>
        </w:rPr>
        <w:t xml:space="preserve"> on firm performance using a large cross-country sample during the COVID-19 shock; their aim was to test whether firms with stronger CSR/social-trust linkages performed better during the COVID crisis. The authors use a difference-in-differences design on a panel of firm-quarter observations across many countries (tens of thousands of observations), controlling for firm and time fixed effects to address endogeneity concerns. They find that firms with higher prior CSR/social-trust exposure experienced relatively better operating and financial outcomes during COVID (better revenues, investment and access to debt), suggesting social trust </w:t>
      </w:r>
      <w:r w:rsidRPr="0086360E">
        <w:rPr>
          <w:rFonts w:cs="Times New Roman"/>
          <w:szCs w:val="24"/>
        </w:rPr>
        <w:lastRenderedPageBreak/>
        <w:t xml:space="preserve">and CSR can buffer firms in crises. The study’s strengths are the large sample and quasi-experimental approach, but limitations include reliance on CSR proxies (which may imperfectly capture local social trust), possible measurement heterogeneity across countries, and limited micro-level mechanisms (e.g., how internal organizational trust vs. regional social trust operate differently). The paper is strong on macro evidence but leaves room for firm-level qualitative unpacking. </w:t>
      </w:r>
    </w:p>
    <w:p w14:paraId="4E849FC8" w14:textId="77777777" w:rsidR="00CC0D14" w:rsidRPr="0086360E" w:rsidRDefault="00CC0D14" w:rsidP="00CC0D14">
      <w:pPr>
        <w:spacing w:line="240" w:lineRule="auto"/>
        <w:rPr>
          <w:rFonts w:cs="Times New Roman"/>
          <w:szCs w:val="24"/>
        </w:rPr>
      </w:pPr>
      <w:r w:rsidRPr="0086360E">
        <w:rPr>
          <w:rFonts w:cs="Times New Roman"/>
          <w:szCs w:val="24"/>
        </w:rPr>
        <w:t xml:space="preserve">Vučković </w:t>
      </w:r>
      <w:proofErr w:type="gramStart"/>
      <w:r w:rsidRPr="0086360E">
        <w:rPr>
          <w:rFonts w:cs="Times New Roman"/>
          <w:szCs w:val="24"/>
        </w:rPr>
        <w:t>et al.(</w:t>
      </w:r>
      <w:proofErr w:type="gramEnd"/>
      <w:r w:rsidRPr="0086360E">
        <w:rPr>
          <w:rFonts w:cs="Times New Roman"/>
          <w:szCs w:val="24"/>
        </w:rPr>
        <w:t>2023) investigate the relationship between interpersonal trust (proxied by inter-firm trade credit) and institutional trust (proxied by firms’ trust in courts) and firm performance in Western Balkan countries; the objective was to show whether different types of trust matter for firm profitability and productivity in a low-trust regional setting. The study uses firm-level data (a sample of roughly 1,298 firms), regression analysis with controls for firm characteristics and institutional variables and disaggregate effects by trust type. Results show that interpersonal trust (informal relational mechanisms such as trade credit) and institutional trust (confidence in legal institutions) both relate to firm performance, but their magnitudes and channels differ: interpersonal trust lowers transaction costs and supports trade relations, while institutional trust sustains investment and formal contracting. The research contributes empirical evidence from a transitioning/developing region but is limited by observational design (risk of omitted variables), potential endogeneity between trust measures and performance, and the challenge of generalizing beyond the Western Balkans; the paper calls for panel or experimental designs to unpack causal pathways.</w:t>
      </w:r>
    </w:p>
    <w:p w14:paraId="50F29053" w14:textId="77777777" w:rsidR="00CC0D14" w:rsidRPr="0086360E" w:rsidRDefault="00CC0D14" w:rsidP="00CC0D14">
      <w:pPr>
        <w:spacing w:after="240" w:line="240" w:lineRule="auto"/>
        <w:rPr>
          <w:rFonts w:cs="Times New Roman"/>
          <w:szCs w:val="24"/>
        </w:rPr>
      </w:pPr>
      <w:proofErr w:type="spellStart"/>
      <w:r w:rsidRPr="0086360E">
        <w:rPr>
          <w:rFonts w:cs="Times New Roman"/>
          <w:szCs w:val="24"/>
        </w:rPr>
        <w:t>Kotcharin</w:t>
      </w:r>
      <w:proofErr w:type="spellEnd"/>
      <w:r w:rsidRPr="0086360E">
        <w:rPr>
          <w:rFonts w:cs="Times New Roman"/>
          <w:szCs w:val="24"/>
        </w:rPr>
        <w:t xml:space="preserve"> et al., (2024) study trust, information sharing, and supplier performance perceptions among SMEs from a social-exchange perspective. The aim is to test whether trust directly improves supplier performance perception and whether information sharing mediates that relationship. Using survey data from SMEs and structural equation </w:t>
      </w:r>
      <w:proofErr w:type="spellStart"/>
      <w:r w:rsidRPr="0086360E">
        <w:rPr>
          <w:rFonts w:cs="Times New Roman"/>
          <w:szCs w:val="24"/>
        </w:rPr>
        <w:t>modeling</w:t>
      </w:r>
      <w:proofErr w:type="spellEnd"/>
      <w:r w:rsidRPr="0086360E">
        <w:rPr>
          <w:rFonts w:cs="Times New Roman"/>
          <w:szCs w:val="24"/>
        </w:rPr>
        <w:t>, the authors report that trust positively affects perceived supplier performance and fosters greater information sharing, while information sharing partially mediates the trust–performance perception link. Their work is useful for SME supply chains (many of which operate in emerging-market contexts) and highlights micro-</w:t>
      </w:r>
      <w:proofErr w:type="spellStart"/>
      <w:r w:rsidRPr="0086360E">
        <w:rPr>
          <w:rFonts w:cs="Times New Roman"/>
          <w:szCs w:val="24"/>
        </w:rPr>
        <w:t>behavioral</w:t>
      </w:r>
      <w:proofErr w:type="spellEnd"/>
      <w:r w:rsidRPr="0086360E">
        <w:rPr>
          <w:rFonts w:cs="Times New Roman"/>
          <w:szCs w:val="24"/>
        </w:rPr>
        <w:t xml:space="preserve"> mechanisms, but limitations include cross-sectional survey data that cannot prove causality, self-reported performance perceptions rather than objective performance measures, and potential sample bias toward SMEs that were willing to participate in surveys. The study suggests useful managerial actions (build trust to increase transparency and collaboration) but leaves room for longitudinal or field experimental confirmation. </w:t>
      </w:r>
    </w:p>
    <w:p w14:paraId="0497A3BC" w14:textId="77777777" w:rsidR="00CC0D14" w:rsidRPr="0086360E" w:rsidRDefault="00CC0D14" w:rsidP="00CC0D14">
      <w:pPr>
        <w:spacing w:after="240" w:line="240" w:lineRule="auto"/>
        <w:rPr>
          <w:rFonts w:cs="Times New Roman"/>
          <w:szCs w:val="24"/>
        </w:rPr>
      </w:pPr>
      <w:proofErr w:type="spellStart"/>
      <w:r w:rsidRPr="0086360E">
        <w:rPr>
          <w:rFonts w:cs="Times New Roman"/>
          <w:szCs w:val="24"/>
        </w:rPr>
        <w:t>Alomran</w:t>
      </w:r>
      <w:proofErr w:type="spellEnd"/>
      <w:r w:rsidRPr="0086360E">
        <w:rPr>
          <w:rFonts w:cs="Times New Roman"/>
          <w:szCs w:val="24"/>
        </w:rPr>
        <w:t xml:space="preserve">, Ahmed and Kassem (2024) explore the effect of organizational trust on organizational commitment and indirectly on performance-relevant outcomes; their stated aim is to test whether national identity moderates the trust–commitment relationship in a hospitality (hotel) setting. The study uses a survey of hotel employees and standard regression/moderation analysis to examine relationships among perceived organizational trust, types of organizational commitment, and the moderating role of national identity. Findings indicate that organizational trust is a positive predictor of affective, continuance and normative commitment, and that national identity modifies some of these relationships, implying cultural/contextual factors shape how trust translates into commitment. The work is helpful for understanding employee-level trust effects on </w:t>
      </w:r>
      <w:proofErr w:type="spellStart"/>
      <w:r w:rsidRPr="0086360E">
        <w:rPr>
          <w:rFonts w:cs="Times New Roman"/>
          <w:szCs w:val="24"/>
        </w:rPr>
        <w:t>behaviors</w:t>
      </w:r>
      <w:proofErr w:type="spellEnd"/>
      <w:r w:rsidRPr="0086360E">
        <w:rPr>
          <w:rFonts w:cs="Times New Roman"/>
          <w:szCs w:val="24"/>
        </w:rPr>
        <w:t xml:space="preserve"> tied to performance but is limited by its sectoral sample (hotels in a specific region), cross-sectional design, and measurement of performance only indirectly via commitment rather than objective </w:t>
      </w:r>
      <w:r w:rsidRPr="0086360E">
        <w:rPr>
          <w:rFonts w:cs="Times New Roman"/>
          <w:szCs w:val="24"/>
        </w:rPr>
        <w:lastRenderedPageBreak/>
        <w:t xml:space="preserve">output; the moderation by national identity also suggests the need for multi-country replication to understand boundary conditions. </w:t>
      </w:r>
    </w:p>
    <w:p w14:paraId="48712622" w14:textId="77777777" w:rsidR="00CC0D14" w:rsidRPr="0086360E" w:rsidRDefault="00CC0D14" w:rsidP="00CC0D14">
      <w:pPr>
        <w:spacing w:after="240" w:line="240" w:lineRule="auto"/>
        <w:rPr>
          <w:rFonts w:cs="Times New Roman"/>
          <w:szCs w:val="24"/>
        </w:rPr>
      </w:pPr>
      <w:proofErr w:type="spellStart"/>
      <w:r w:rsidRPr="0086360E">
        <w:rPr>
          <w:rFonts w:cs="Times New Roman"/>
          <w:szCs w:val="24"/>
        </w:rPr>
        <w:t>Nwenekorum</w:t>
      </w:r>
      <w:proofErr w:type="spellEnd"/>
      <w:r w:rsidRPr="0086360E">
        <w:rPr>
          <w:rFonts w:cs="Times New Roman"/>
          <w:szCs w:val="24"/>
        </w:rPr>
        <w:t xml:space="preserve">, Orga and Nnamani (2022) conducted a study titled “Organizational Trust and Employee Performance of Nigerian Agip Oil Company Limited” with the explicit aim of establishing the relationship between organizational trust and dimensions of employee performance (task and adaptive performance) in a Nigerian oil-sector firm. Using a survey research design and questionnaires administered to employees, the authors apply descriptive statistics and chi-square analysis and report that organizational trust is strongly and positively associated with both task and adaptive performance; they conclude that trust raises motivation, identification with the organization, and engagement, thereby improving performance. This Nigeria-specific study is valuable for local managerial practice and contributes regionally grounded evidence, but methodological weaknesses include convenience sampling, limited analytical techniques (no regression to control for confounds), reliance on self-report measures, and limited external validity beyond that single firm, meaning caution is needed before generalizing to other Nigerian sectors or firm types. </w:t>
      </w:r>
    </w:p>
    <w:p w14:paraId="37D0C117" w14:textId="77777777" w:rsidR="00CC0D14" w:rsidRPr="0086360E" w:rsidRDefault="00CC0D14" w:rsidP="00CC0D14">
      <w:pPr>
        <w:spacing w:after="240" w:line="240" w:lineRule="auto"/>
        <w:rPr>
          <w:rFonts w:cs="Times New Roman"/>
          <w:szCs w:val="24"/>
        </w:rPr>
      </w:pPr>
      <w:r w:rsidRPr="0086360E">
        <w:rPr>
          <w:rFonts w:cs="Times New Roman"/>
          <w:szCs w:val="24"/>
        </w:rPr>
        <w:t xml:space="preserve">Lin et al. (2024) examine how employees’ perceptions of superior/managerial trust affect organizational commitment and downstream outcomes. The paper aims to test whether perceived superior trust improves commitment and whether that relationship shapes job attitudes and performance-related intentions. Using survey data and mediation analysis, the study finds that perceived superior trust increases organizational dedication and indirectly improves indicators associated with performance (e.g., reduced turnover intentions, higher engagement). The article’s strengths include open access, careful measurement of supervisor trust and multiple commitment dimensions, and discussion of psychological mechanisms (identification and motivation). Limitations are the common ones for organizational surveys: cross-sectional design that restricts causal claims, potential common-method bias from self-reports, and limited objective performance metrics; the study suggests future longitudinal or mixed-methods work to confirm causal pathways. </w:t>
      </w:r>
    </w:p>
    <w:p w14:paraId="5E8C67EB" w14:textId="77777777" w:rsidR="00CC0D14" w:rsidRPr="0086360E" w:rsidRDefault="00CC0D14" w:rsidP="00CC0D14">
      <w:pPr>
        <w:spacing w:line="240" w:lineRule="auto"/>
        <w:rPr>
          <w:rFonts w:cs="Times New Roman"/>
          <w:szCs w:val="24"/>
        </w:rPr>
      </w:pPr>
      <w:r w:rsidRPr="0086360E">
        <w:rPr>
          <w:rFonts w:cs="Times New Roman"/>
          <w:szCs w:val="24"/>
        </w:rPr>
        <w:t xml:space="preserve">Shen and Yu (2025) </w:t>
      </w:r>
      <w:proofErr w:type="gramStart"/>
      <w:r w:rsidRPr="0086360E">
        <w:rPr>
          <w:rFonts w:cs="Times New Roman"/>
          <w:szCs w:val="24"/>
        </w:rPr>
        <w:t>examines</w:t>
      </w:r>
      <w:proofErr w:type="gramEnd"/>
      <w:r w:rsidRPr="0086360E">
        <w:rPr>
          <w:rFonts w:cs="Times New Roman"/>
          <w:szCs w:val="24"/>
        </w:rPr>
        <w:t xml:space="preserve"> how regional social trust influences foreign firms’ performance using a large panel of foreign firm observations in China (annual data 2008–2020). The authors set out to test whether higher regional social trust benefits foreign entrants by lowering operating costs and enabling more risk-taking. Using ordinary least squares models with firm and region controls on over 10,000 firm-year observations, the study reports that foreign firm performance is higher in regions with greater social trust and that formal institutions and economic policy uncertainty moderate this effect. The paper is useful because it isolates a regional social-trust effect for foreign firm outcomes in a major emerging economy, but limitations include potential selection (foreign firms might choose high-trust regions), measurement of social trust at regional aggregates that may mask firm-level variation, and the challenge of cleanly separating social trust from related institutional factors; the authors call for instrumental or quasi-experimental approaches to address</w:t>
      </w:r>
    </w:p>
    <w:p w14:paraId="4B7B9709" w14:textId="77777777" w:rsidR="00CC0D14" w:rsidRPr="0086360E" w:rsidRDefault="00CC0D14" w:rsidP="00CC0D14">
      <w:pPr>
        <w:spacing w:line="240" w:lineRule="auto"/>
        <w:rPr>
          <w:rFonts w:cs="Times New Roman"/>
          <w:b/>
          <w:szCs w:val="24"/>
        </w:rPr>
      </w:pPr>
      <w:r w:rsidRPr="0086360E">
        <w:rPr>
          <w:rFonts w:cs="Times New Roman"/>
          <w:b/>
          <w:szCs w:val="24"/>
        </w:rPr>
        <w:t>Methodology</w:t>
      </w:r>
    </w:p>
    <w:p w14:paraId="5F5E06FD" w14:textId="77777777" w:rsidR="00CC0D14" w:rsidRPr="0086360E" w:rsidRDefault="00CC0D14" w:rsidP="00CC0D14">
      <w:pPr>
        <w:spacing w:line="240" w:lineRule="auto"/>
        <w:rPr>
          <w:rFonts w:cs="Times New Roman"/>
          <w:szCs w:val="24"/>
        </w:rPr>
      </w:pPr>
      <w:r w:rsidRPr="0086360E">
        <w:rPr>
          <w:rFonts w:cs="Times New Roman"/>
          <w:szCs w:val="24"/>
        </w:rPr>
        <w:t xml:space="preserve">The study adopted a cross-sectional survey research design. The population comprised a total of 63,956 employees from selected fourteen (14) licensed deposit money banks in Lagos State, Nigeria.  Using the Taro Yame formula, a sample of 443 respondents was determined and selected through a stratified random sampling technique. A structured questionnaire was the main </w:t>
      </w:r>
      <w:r w:rsidRPr="0086360E">
        <w:rPr>
          <w:rFonts w:cs="Times New Roman"/>
          <w:szCs w:val="24"/>
        </w:rPr>
        <w:lastRenderedPageBreak/>
        <w:t>instrument for data collection. Descriptive statistics were used to summarize responses on demographic and perception variables, while Multivariate Analysis of Variance (MANOVA) was employed to test the hypotheses at a 5% level of significance.</w:t>
      </w:r>
    </w:p>
    <w:p w14:paraId="353F0621" w14:textId="77777777" w:rsidR="00CC0D14" w:rsidRPr="0086360E" w:rsidRDefault="00CC0D14" w:rsidP="00CC0D14">
      <w:pPr>
        <w:spacing w:line="240" w:lineRule="auto"/>
        <w:rPr>
          <w:rFonts w:cs="Times New Roman"/>
          <w:b/>
          <w:szCs w:val="24"/>
        </w:rPr>
      </w:pPr>
      <w:r w:rsidRPr="0086360E">
        <w:rPr>
          <w:rFonts w:cs="Times New Roman"/>
          <w:b/>
          <w:szCs w:val="24"/>
        </w:rPr>
        <w:t>Results and Discussion</w:t>
      </w:r>
    </w:p>
    <w:p w14:paraId="4DDB013F" w14:textId="77777777" w:rsidR="00CC0D14" w:rsidRPr="0086360E" w:rsidRDefault="00CC0D14" w:rsidP="00CC0D14">
      <w:pPr>
        <w:pStyle w:val="Heading2"/>
        <w:rPr>
          <w:rFonts w:cs="Times New Roman"/>
          <w:sz w:val="24"/>
          <w:szCs w:val="24"/>
        </w:rPr>
      </w:pPr>
      <w:bookmarkStart w:id="0" w:name="_Toc213387141"/>
      <w:r w:rsidRPr="0086360E">
        <w:rPr>
          <w:rFonts w:cs="Times New Roman"/>
          <w:sz w:val="24"/>
          <w:szCs w:val="24"/>
        </w:rPr>
        <w:t>Multivariate Analysis of Variance (MANOVA) Results</w:t>
      </w:r>
      <w:bookmarkEnd w:id="0"/>
    </w:p>
    <w:p w14:paraId="65CB9EE2" w14:textId="77777777" w:rsidR="00CC0D14" w:rsidRPr="0086360E" w:rsidRDefault="00CC0D14" w:rsidP="00CC0D14">
      <w:pPr>
        <w:pStyle w:val="Heading3"/>
        <w:spacing w:before="0" w:after="0" w:line="240" w:lineRule="auto"/>
        <w:rPr>
          <w:rFonts w:cs="Times New Roman"/>
          <w:sz w:val="24"/>
          <w:szCs w:val="24"/>
        </w:rPr>
      </w:pPr>
      <w:bookmarkStart w:id="1" w:name="_Toc213387142"/>
      <w:r w:rsidRPr="0086360E">
        <w:rPr>
          <w:rFonts w:cs="Times New Roman"/>
          <w:sz w:val="24"/>
          <w:szCs w:val="24"/>
        </w:rPr>
        <w:t>MANOVA Results for Hypothesis One</w:t>
      </w:r>
      <w:bookmarkEnd w:id="1"/>
    </w:p>
    <w:p w14:paraId="4F9B2B81" w14:textId="77777777" w:rsidR="00CC0D14" w:rsidRPr="0086360E" w:rsidRDefault="00CC0D14" w:rsidP="00CC0D14">
      <w:pPr>
        <w:spacing w:after="240" w:line="240" w:lineRule="auto"/>
        <w:rPr>
          <w:rFonts w:cs="Times New Roman"/>
          <w:szCs w:val="24"/>
        </w:rPr>
      </w:pPr>
      <w:r w:rsidRPr="0086360E">
        <w:rPr>
          <w:rFonts w:cs="Times New Roman"/>
          <w:szCs w:val="24"/>
        </w:rPr>
        <w:t xml:space="preserve">The multivariate analysis of variance (MANOVA) was conducted to examine the effect of trust on the overall performance of selected Nigerian deposit money banks, using customer satisfaction, market competitiveness, and operational efficiency as the dependent variables. The multivariate test using Wilks’ Lambda (Λ = 0.323, </w:t>
      </w:r>
      <w:proofErr w:type="gramStart"/>
      <w:r w:rsidRPr="0086360E">
        <w:rPr>
          <w:rFonts w:cs="Times New Roman"/>
          <w:szCs w:val="24"/>
        </w:rPr>
        <w:t>F(</w:t>
      </w:r>
      <w:proofErr w:type="gramEnd"/>
      <w:r w:rsidRPr="0086360E">
        <w:rPr>
          <w:rFonts w:cs="Times New Roman"/>
          <w:szCs w:val="24"/>
        </w:rPr>
        <w:t xml:space="preserve">36, 1158.94) = 15.886, p = 0.029) indicates that the combined dependent variables were significantly influenced by trust at the 5% level of significance. This implies that variations in trust among the banks account for significant differences in their overall performance profile when all three indicators are considered jointly. The relatively low Wilks’ Lambda value (.323) suggests a strong multivariate relationship, meaning that trust explains a considerable portion of the variance in the set of performance measures. Following the significant multivariate result, the Tests of Between-Subjects Effects were examined to determine the specific dependent variables that contributed to the overall effect. The univariate </w:t>
      </w:r>
      <w:r w:rsidRPr="0086360E">
        <w:rPr>
          <w:rFonts w:cs="Times New Roman"/>
          <w:szCs w:val="24"/>
          <w:lang w:val="en-US"/>
        </w:rPr>
        <w:t>M</w:t>
      </w:r>
      <w:r w:rsidRPr="0086360E">
        <w:rPr>
          <w:rFonts w:cs="Times New Roman"/>
          <w:szCs w:val="24"/>
        </w:rPr>
        <w:t>ANOVA results reveal that trust significantly affected each of the performance indicators: customer satisfaction (F = 11.036, p = 0.034), market competitiveness (F = 16.673, p = 0.026), and operational efficiency (F = 22.005, p = 0.003). These results indicate that higher levels of trust within banking relationships are associated with higher customer satisfaction, greater market competitiveness, and improved operational efficiency among the selected banks. The corresponding R-squared values further show that trust explains 73.6% of the variance in customer satisfaction, 62.0% of the variance in market competitiveness, and 63.6% of the variance in operational efficiency, demonstrating a substantial explanatory power. Consequently, Hypothesis One, which states that trust has no significant effect on the performance of selected Nigerian deposit money banks in Lagos State, is rejected.</w:t>
      </w:r>
    </w:p>
    <w:tbl>
      <w:tblPr>
        <w:tblW w:w="8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15"/>
        <w:gridCol w:w="1910"/>
        <w:gridCol w:w="305"/>
        <w:gridCol w:w="735"/>
        <w:gridCol w:w="615"/>
        <w:gridCol w:w="580"/>
        <w:gridCol w:w="140"/>
        <w:gridCol w:w="1080"/>
        <w:gridCol w:w="239"/>
        <w:gridCol w:w="931"/>
        <w:gridCol w:w="171"/>
        <w:gridCol w:w="999"/>
        <w:gridCol w:w="41"/>
      </w:tblGrid>
      <w:tr w:rsidR="00CC0D14" w:rsidRPr="0086360E" w14:paraId="5F51DA4E" w14:textId="77777777" w:rsidTr="00814DF3">
        <w:trPr>
          <w:cantSplit/>
        </w:trPr>
        <w:tc>
          <w:tcPr>
            <w:tcW w:w="8771" w:type="dxa"/>
            <w:gridSpan w:val="14"/>
            <w:tcBorders>
              <w:top w:val="nil"/>
              <w:left w:val="nil"/>
              <w:bottom w:val="single" w:sz="4" w:space="0" w:color="auto"/>
              <w:right w:val="nil"/>
            </w:tcBorders>
            <w:shd w:val="clear" w:color="auto" w:fill="FFFFFF"/>
            <w:vAlign w:val="center"/>
          </w:tcPr>
          <w:p w14:paraId="0EE0C0D1" w14:textId="77777777" w:rsidR="00CC0D14" w:rsidRPr="0086360E" w:rsidRDefault="00CC0D14" w:rsidP="00814DF3">
            <w:pPr>
              <w:spacing w:line="240" w:lineRule="auto"/>
              <w:rPr>
                <w:rFonts w:cs="Times New Roman"/>
                <w:b/>
                <w:bCs/>
                <w:szCs w:val="24"/>
              </w:rPr>
            </w:pPr>
            <w:r w:rsidRPr="0086360E">
              <w:rPr>
                <w:rFonts w:cs="Times New Roman"/>
                <w:b/>
                <w:bCs/>
                <w:szCs w:val="24"/>
              </w:rPr>
              <w:t>Table 1: Multivariate Tests – Hypothesis One</w:t>
            </w:r>
          </w:p>
        </w:tc>
      </w:tr>
      <w:tr w:rsidR="00CC0D14" w:rsidRPr="0086360E" w14:paraId="68259D66" w14:textId="77777777" w:rsidTr="00814DF3">
        <w:trPr>
          <w:cantSplit/>
        </w:trPr>
        <w:tc>
          <w:tcPr>
            <w:tcW w:w="2935" w:type="dxa"/>
            <w:gridSpan w:val="3"/>
            <w:tcBorders>
              <w:top w:val="single" w:sz="4" w:space="0" w:color="auto"/>
              <w:left w:val="nil"/>
              <w:bottom w:val="single" w:sz="8" w:space="0" w:color="AEAEAE"/>
              <w:right w:val="nil"/>
            </w:tcBorders>
            <w:shd w:val="clear" w:color="auto" w:fill="FFFFFF"/>
            <w:vAlign w:val="bottom"/>
          </w:tcPr>
          <w:p w14:paraId="6230CE02" w14:textId="77777777" w:rsidR="00CC0D14" w:rsidRPr="0086360E" w:rsidRDefault="00CC0D14" w:rsidP="00814DF3">
            <w:pPr>
              <w:spacing w:line="240" w:lineRule="auto"/>
              <w:rPr>
                <w:rFonts w:cs="Times New Roman"/>
                <w:szCs w:val="24"/>
              </w:rPr>
            </w:pPr>
            <w:r w:rsidRPr="0086360E">
              <w:rPr>
                <w:rFonts w:cs="Times New Roman"/>
                <w:szCs w:val="24"/>
              </w:rPr>
              <w:t>Effect</w:t>
            </w:r>
          </w:p>
        </w:tc>
        <w:tc>
          <w:tcPr>
            <w:tcW w:w="1040" w:type="dxa"/>
            <w:gridSpan w:val="2"/>
            <w:tcBorders>
              <w:top w:val="single" w:sz="4" w:space="0" w:color="auto"/>
              <w:left w:val="nil"/>
              <w:bottom w:val="single" w:sz="8" w:space="0" w:color="AEAEAE"/>
              <w:right w:val="single" w:sz="8" w:space="0" w:color="E0E0E0"/>
            </w:tcBorders>
            <w:shd w:val="clear" w:color="auto" w:fill="FFFFFF"/>
            <w:vAlign w:val="bottom"/>
          </w:tcPr>
          <w:p w14:paraId="055BFD3E" w14:textId="77777777" w:rsidR="00CC0D14" w:rsidRPr="0086360E" w:rsidRDefault="00CC0D14" w:rsidP="00814DF3">
            <w:pPr>
              <w:spacing w:line="240" w:lineRule="auto"/>
              <w:jc w:val="center"/>
              <w:rPr>
                <w:rFonts w:cs="Times New Roman"/>
                <w:szCs w:val="24"/>
              </w:rPr>
            </w:pPr>
            <w:r w:rsidRPr="0086360E">
              <w:rPr>
                <w:rFonts w:cs="Times New Roman"/>
                <w:szCs w:val="24"/>
              </w:rPr>
              <w:t>Value</w:t>
            </w:r>
          </w:p>
        </w:tc>
        <w:tc>
          <w:tcPr>
            <w:tcW w:w="1195" w:type="dxa"/>
            <w:gridSpan w:val="2"/>
            <w:tcBorders>
              <w:top w:val="single" w:sz="4" w:space="0" w:color="auto"/>
              <w:left w:val="single" w:sz="8" w:space="0" w:color="E0E0E0"/>
              <w:bottom w:val="single" w:sz="8" w:space="0" w:color="AEAEAE"/>
              <w:right w:val="single" w:sz="8" w:space="0" w:color="E0E0E0"/>
            </w:tcBorders>
            <w:shd w:val="clear" w:color="auto" w:fill="FFFFFF"/>
            <w:vAlign w:val="bottom"/>
          </w:tcPr>
          <w:p w14:paraId="350EF72F" w14:textId="77777777" w:rsidR="00CC0D14" w:rsidRPr="0086360E" w:rsidRDefault="00CC0D14" w:rsidP="00814DF3">
            <w:pPr>
              <w:spacing w:line="240" w:lineRule="auto"/>
              <w:jc w:val="center"/>
              <w:rPr>
                <w:rFonts w:cs="Times New Roman"/>
                <w:szCs w:val="24"/>
              </w:rPr>
            </w:pPr>
            <w:r w:rsidRPr="0086360E">
              <w:rPr>
                <w:rFonts w:cs="Times New Roman"/>
                <w:szCs w:val="24"/>
              </w:rPr>
              <w:t>F</w:t>
            </w:r>
          </w:p>
        </w:tc>
        <w:tc>
          <w:tcPr>
            <w:tcW w:w="1459" w:type="dxa"/>
            <w:gridSpan w:val="3"/>
            <w:tcBorders>
              <w:top w:val="single" w:sz="4" w:space="0" w:color="auto"/>
              <w:left w:val="single" w:sz="8" w:space="0" w:color="E0E0E0"/>
              <w:bottom w:val="single" w:sz="8" w:space="0" w:color="AEAEAE"/>
              <w:right w:val="single" w:sz="8" w:space="0" w:color="E0E0E0"/>
            </w:tcBorders>
            <w:shd w:val="clear" w:color="auto" w:fill="FFFFFF"/>
            <w:vAlign w:val="bottom"/>
          </w:tcPr>
          <w:p w14:paraId="1A2DA0BD" w14:textId="77777777" w:rsidR="00CC0D14" w:rsidRPr="0086360E" w:rsidRDefault="00CC0D14" w:rsidP="00814DF3">
            <w:pPr>
              <w:spacing w:line="240" w:lineRule="auto"/>
              <w:jc w:val="center"/>
              <w:rPr>
                <w:rFonts w:cs="Times New Roman"/>
                <w:szCs w:val="24"/>
              </w:rPr>
            </w:pPr>
            <w:r w:rsidRPr="0086360E">
              <w:rPr>
                <w:rFonts w:cs="Times New Roman"/>
                <w:szCs w:val="24"/>
              </w:rPr>
              <w:t xml:space="preserve">Hypothesis </w:t>
            </w:r>
            <w:proofErr w:type="spellStart"/>
            <w:r w:rsidRPr="0086360E">
              <w:rPr>
                <w:rFonts w:cs="Times New Roman"/>
                <w:szCs w:val="24"/>
              </w:rPr>
              <w:t>df</w:t>
            </w:r>
            <w:proofErr w:type="spellEnd"/>
          </w:p>
        </w:tc>
        <w:tc>
          <w:tcPr>
            <w:tcW w:w="1102" w:type="dxa"/>
            <w:gridSpan w:val="2"/>
            <w:tcBorders>
              <w:top w:val="single" w:sz="4" w:space="0" w:color="auto"/>
              <w:left w:val="single" w:sz="8" w:space="0" w:color="E0E0E0"/>
              <w:bottom w:val="single" w:sz="8" w:space="0" w:color="AEAEAE"/>
              <w:right w:val="single" w:sz="8" w:space="0" w:color="E0E0E0"/>
            </w:tcBorders>
            <w:shd w:val="clear" w:color="auto" w:fill="FFFFFF"/>
            <w:vAlign w:val="bottom"/>
          </w:tcPr>
          <w:p w14:paraId="637C4441" w14:textId="77777777" w:rsidR="00CC0D14" w:rsidRPr="0086360E" w:rsidRDefault="00CC0D14" w:rsidP="00814DF3">
            <w:pPr>
              <w:spacing w:line="240" w:lineRule="auto"/>
              <w:jc w:val="center"/>
              <w:rPr>
                <w:rFonts w:cs="Times New Roman"/>
                <w:szCs w:val="24"/>
              </w:rPr>
            </w:pPr>
            <w:r w:rsidRPr="0086360E">
              <w:rPr>
                <w:rFonts w:cs="Times New Roman"/>
                <w:szCs w:val="24"/>
              </w:rPr>
              <w:t xml:space="preserve">Error </w:t>
            </w:r>
            <w:proofErr w:type="spellStart"/>
            <w:r w:rsidRPr="0086360E">
              <w:rPr>
                <w:rFonts w:cs="Times New Roman"/>
                <w:szCs w:val="24"/>
              </w:rPr>
              <w:t>df</w:t>
            </w:r>
            <w:proofErr w:type="spellEnd"/>
          </w:p>
        </w:tc>
        <w:tc>
          <w:tcPr>
            <w:tcW w:w="1040" w:type="dxa"/>
            <w:gridSpan w:val="2"/>
            <w:tcBorders>
              <w:top w:val="single" w:sz="4" w:space="0" w:color="auto"/>
              <w:left w:val="single" w:sz="8" w:space="0" w:color="E0E0E0"/>
              <w:bottom w:val="single" w:sz="8" w:space="0" w:color="AEAEAE"/>
              <w:right w:val="nil"/>
            </w:tcBorders>
            <w:shd w:val="clear" w:color="auto" w:fill="FFFFFF"/>
            <w:vAlign w:val="bottom"/>
          </w:tcPr>
          <w:p w14:paraId="31536A66" w14:textId="77777777" w:rsidR="00CC0D14" w:rsidRPr="0086360E" w:rsidRDefault="00CC0D14" w:rsidP="00814DF3">
            <w:pPr>
              <w:spacing w:line="240" w:lineRule="auto"/>
              <w:jc w:val="center"/>
              <w:rPr>
                <w:rFonts w:cs="Times New Roman"/>
                <w:szCs w:val="24"/>
              </w:rPr>
            </w:pPr>
            <w:r w:rsidRPr="0086360E">
              <w:rPr>
                <w:rFonts w:cs="Times New Roman"/>
                <w:szCs w:val="24"/>
              </w:rPr>
              <w:t>Sig.</w:t>
            </w:r>
          </w:p>
        </w:tc>
      </w:tr>
      <w:tr w:rsidR="00CC0D14" w:rsidRPr="0086360E" w14:paraId="3B2BECAA" w14:textId="77777777" w:rsidTr="00814DF3">
        <w:trPr>
          <w:cantSplit/>
        </w:trPr>
        <w:tc>
          <w:tcPr>
            <w:tcW w:w="1025" w:type="dxa"/>
            <w:gridSpan w:val="2"/>
            <w:tcBorders>
              <w:top w:val="single" w:sz="8" w:space="0" w:color="AEAEAE"/>
              <w:left w:val="nil"/>
              <w:bottom w:val="single" w:sz="4" w:space="0" w:color="auto"/>
              <w:right w:val="nil"/>
            </w:tcBorders>
            <w:shd w:val="clear" w:color="auto" w:fill="E0E0E0"/>
            <w:vAlign w:val="center"/>
          </w:tcPr>
          <w:p w14:paraId="061443CD" w14:textId="77777777" w:rsidR="00CC0D14" w:rsidRPr="0086360E" w:rsidRDefault="00CC0D14" w:rsidP="00814DF3">
            <w:pPr>
              <w:spacing w:after="240" w:line="240" w:lineRule="auto"/>
              <w:jc w:val="center"/>
              <w:rPr>
                <w:rFonts w:cs="Times New Roman"/>
                <w:szCs w:val="24"/>
              </w:rPr>
            </w:pPr>
            <w:r w:rsidRPr="0086360E">
              <w:rPr>
                <w:rFonts w:cs="Times New Roman"/>
                <w:szCs w:val="24"/>
              </w:rPr>
              <w:t>Trust</w:t>
            </w:r>
          </w:p>
        </w:tc>
        <w:tc>
          <w:tcPr>
            <w:tcW w:w="1910" w:type="dxa"/>
            <w:tcBorders>
              <w:top w:val="single" w:sz="8" w:space="0" w:color="AEAEAE"/>
              <w:left w:val="nil"/>
              <w:bottom w:val="single" w:sz="4" w:space="0" w:color="auto"/>
              <w:right w:val="nil"/>
            </w:tcBorders>
            <w:shd w:val="clear" w:color="auto" w:fill="E0E0E0"/>
            <w:vAlign w:val="center"/>
          </w:tcPr>
          <w:p w14:paraId="5279B89C" w14:textId="77777777" w:rsidR="00CC0D14" w:rsidRPr="0086360E" w:rsidRDefault="00CC0D14" w:rsidP="00814DF3">
            <w:pPr>
              <w:spacing w:after="240" w:line="240" w:lineRule="auto"/>
              <w:jc w:val="right"/>
              <w:rPr>
                <w:rFonts w:cs="Times New Roman"/>
                <w:szCs w:val="24"/>
              </w:rPr>
            </w:pPr>
            <w:r w:rsidRPr="0086360E">
              <w:rPr>
                <w:rFonts w:cs="Times New Roman"/>
                <w:szCs w:val="24"/>
              </w:rPr>
              <w:t>Wilks' Lambda</w:t>
            </w:r>
          </w:p>
        </w:tc>
        <w:tc>
          <w:tcPr>
            <w:tcW w:w="1040" w:type="dxa"/>
            <w:gridSpan w:val="2"/>
            <w:tcBorders>
              <w:top w:val="single" w:sz="8" w:space="0" w:color="AEAEAE"/>
              <w:left w:val="nil"/>
              <w:bottom w:val="single" w:sz="4" w:space="0" w:color="auto"/>
              <w:right w:val="single" w:sz="8" w:space="0" w:color="E0E0E0"/>
            </w:tcBorders>
            <w:shd w:val="clear" w:color="auto" w:fill="FFFFFF"/>
            <w:vAlign w:val="center"/>
          </w:tcPr>
          <w:p w14:paraId="22AC07CC" w14:textId="77777777" w:rsidR="00CC0D14" w:rsidRPr="0086360E" w:rsidRDefault="00CC0D14" w:rsidP="00814DF3">
            <w:pPr>
              <w:spacing w:after="240" w:line="240" w:lineRule="auto"/>
              <w:jc w:val="right"/>
              <w:rPr>
                <w:rFonts w:cs="Times New Roman"/>
                <w:szCs w:val="24"/>
              </w:rPr>
            </w:pPr>
            <w:r w:rsidRPr="0086360E">
              <w:rPr>
                <w:rFonts w:cs="Times New Roman"/>
                <w:szCs w:val="24"/>
              </w:rPr>
              <w:t>.323</w:t>
            </w:r>
          </w:p>
        </w:tc>
        <w:tc>
          <w:tcPr>
            <w:tcW w:w="1195"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3CB3EFC1" w14:textId="77777777" w:rsidR="00CC0D14" w:rsidRPr="0086360E" w:rsidRDefault="00CC0D14" w:rsidP="00814DF3">
            <w:pPr>
              <w:spacing w:after="240" w:line="240" w:lineRule="auto"/>
              <w:jc w:val="right"/>
              <w:rPr>
                <w:rFonts w:cs="Times New Roman"/>
                <w:szCs w:val="24"/>
              </w:rPr>
            </w:pPr>
            <w:r w:rsidRPr="0086360E">
              <w:rPr>
                <w:rFonts w:cs="Times New Roman"/>
                <w:szCs w:val="24"/>
              </w:rPr>
              <w:t>15.886</w:t>
            </w:r>
          </w:p>
        </w:tc>
        <w:tc>
          <w:tcPr>
            <w:tcW w:w="1459" w:type="dxa"/>
            <w:gridSpan w:val="3"/>
            <w:tcBorders>
              <w:top w:val="single" w:sz="8" w:space="0" w:color="AEAEAE"/>
              <w:left w:val="single" w:sz="8" w:space="0" w:color="E0E0E0"/>
              <w:bottom w:val="single" w:sz="4" w:space="0" w:color="auto"/>
              <w:right w:val="single" w:sz="8" w:space="0" w:color="E0E0E0"/>
            </w:tcBorders>
            <w:shd w:val="clear" w:color="auto" w:fill="FFFFFF"/>
            <w:vAlign w:val="center"/>
          </w:tcPr>
          <w:p w14:paraId="5E01A65D" w14:textId="77777777" w:rsidR="00CC0D14" w:rsidRPr="0086360E" w:rsidRDefault="00CC0D14" w:rsidP="00814DF3">
            <w:pPr>
              <w:spacing w:after="240" w:line="240" w:lineRule="auto"/>
              <w:jc w:val="right"/>
              <w:rPr>
                <w:rFonts w:cs="Times New Roman"/>
                <w:szCs w:val="24"/>
              </w:rPr>
            </w:pPr>
            <w:r w:rsidRPr="0086360E">
              <w:rPr>
                <w:rFonts w:cs="Times New Roman"/>
                <w:szCs w:val="24"/>
              </w:rPr>
              <w:t>36.000</w:t>
            </w:r>
          </w:p>
        </w:tc>
        <w:tc>
          <w:tcPr>
            <w:tcW w:w="1102"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0058232B" w14:textId="77777777" w:rsidR="00CC0D14" w:rsidRPr="0086360E" w:rsidRDefault="00CC0D14" w:rsidP="00814DF3">
            <w:pPr>
              <w:spacing w:after="240" w:line="240" w:lineRule="auto"/>
              <w:jc w:val="right"/>
              <w:rPr>
                <w:rFonts w:cs="Times New Roman"/>
                <w:szCs w:val="24"/>
              </w:rPr>
            </w:pPr>
            <w:r w:rsidRPr="0086360E">
              <w:rPr>
                <w:rFonts w:cs="Times New Roman"/>
                <w:szCs w:val="24"/>
              </w:rPr>
              <w:t>1158.935</w:t>
            </w:r>
          </w:p>
        </w:tc>
        <w:tc>
          <w:tcPr>
            <w:tcW w:w="1040" w:type="dxa"/>
            <w:gridSpan w:val="2"/>
            <w:tcBorders>
              <w:top w:val="single" w:sz="8" w:space="0" w:color="AEAEAE"/>
              <w:left w:val="single" w:sz="8" w:space="0" w:color="E0E0E0"/>
              <w:bottom w:val="single" w:sz="4" w:space="0" w:color="auto"/>
              <w:right w:val="nil"/>
            </w:tcBorders>
            <w:shd w:val="clear" w:color="auto" w:fill="FFFFFF"/>
            <w:vAlign w:val="center"/>
          </w:tcPr>
          <w:p w14:paraId="5049D2E1" w14:textId="77777777" w:rsidR="00CC0D14" w:rsidRPr="0086360E" w:rsidRDefault="00CC0D14" w:rsidP="00814DF3">
            <w:pPr>
              <w:spacing w:after="240" w:line="240" w:lineRule="auto"/>
              <w:jc w:val="right"/>
              <w:rPr>
                <w:rFonts w:cs="Times New Roman"/>
                <w:szCs w:val="24"/>
              </w:rPr>
            </w:pPr>
            <w:r w:rsidRPr="0086360E">
              <w:rPr>
                <w:rFonts w:cs="Times New Roman"/>
                <w:szCs w:val="24"/>
              </w:rPr>
              <w:t>.029</w:t>
            </w:r>
          </w:p>
        </w:tc>
      </w:tr>
      <w:tr w:rsidR="00CC0D14" w:rsidRPr="0086360E" w14:paraId="1CAA6E52" w14:textId="77777777" w:rsidTr="00814DF3">
        <w:trPr>
          <w:gridAfter w:val="1"/>
          <w:wAfter w:w="41" w:type="dxa"/>
          <w:cantSplit/>
        </w:trPr>
        <w:tc>
          <w:tcPr>
            <w:tcW w:w="8730" w:type="dxa"/>
            <w:gridSpan w:val="13"/>
            <w:tcBorders>
              <w:top w:val="nil"/>
              <w:left w:val="nil"/>
              <w:bottom w:val="nil"/>
              <w:right w:val="nil"/>
            </w:tcBorders>
            <w:shd w:val="clear" w:color="auto" w:fill="FFFFFF"/>
            <w:vAlign w:val="center"/>
          </w:tcPr>
          <w:p w14:paraId="1F22FF57" w14:textId="77777777" w:rsidR="00CC0D14" w:rsidRPr="0086360E" w:rsidRDefault="00CC0D14" w:rsidP="00814DF3">
            <w:pPr>
              <w:spacing w:line="240" w:lineRule="auto"/>
              <w:jc w:val="center"/>
              <w:rPr>
                <w:rFonts w:cs="Times New Roman"/>
                <w:b/>
                <w:bCs/>
                <w:szCs w:val="24"/>
              </w:rPr>
            </w:pPr>
            <w:r w:rsidRPr="0086360E">
              <w:rPr>
                <w:rFonts w:cs="Times New Roman"/>
                <w:b/>
                <w:bCs/>
                <w:szCs w:val="24"/>
              </w:rPr>
              <w:t>Tests of Between-Subjects Effects- Hypothesis One</w:t>
            </w:r>
          </w:p>
        </w:tc>
      </w:tr>
      <w:tr w:rsidR="00CC0D14" w:rsidRPr="0086360E" w14:paraId="3D827738" w14:textId="77777777" w:rsidTr="00814DF3">
        <w:trPr>
          <w:gridAfter w:val="1"/>
          <w:wAfter w:w="41" w:type="dxa"/>
          <w:cantSplit/>
        </w:trPr>
        <w:tc>
          <w:tcPr>
            <w:tcW w:w="810" w:type="dxa"/>
            <w:tcBorders>
              <w:top w:val="single" w:sz="4" w:space="0" w:color="auto"/>
              <w:left w:val="nil"/>
              <w:bottom w:val="single" w:sz="8" w:space="0" w:color="152935"/>
              <w:right w:val="nil"/>
            </w:tcBorders>
            <w:shd w:val="clear" w:color="auto" w:fill="FFFFFF"/>
            <w:vAlign w:val="center"/>
          </w:tcPr>
          <w:p w14:paraId="5156FEBA" w14:textId="77777777" w:rsidR="00CC0D14" w:rsidRPr="0086360E" w:rsidRDefault="00CC0D14" w:rsidP="00814DF3">
            <w:pPr>
              <w:spacing w:line="240" w:lineRule="auto"/>
              <w:jc w:val="center"/>
              <w:rPr>
                <w:rFonts w:cs="Times New Roman"/>
                <w:szCs w:val="24"/>
              </w:rPr>
            </w:pPr>
            <w:r w:rsidRPr="0086360E">
              <w:rPr>
                <w:rFonts w:cs="Times New Roman"/>
                <w:szCs w:val="24"/>
              </w:rPr>
              <w:t>Source</w:t>
            </w:r>
          </w:p>
        </w:tc>
        <w:tc>
          <w:tcPr>
            <w:tcW w:w="2430" w:type="dxa"/>
            <w:gridSpan w:val="3"/>
            <w:tcBorders>
              <w:top w:val="single" w:sz="4" w:space="0" w:color="auto"/>
              <w:left w:val="nil"/>
              <w:bottom w:val="single" w:sz="8" w:space="0" w:color="152935"/>
              <w:right w:val="nil"/>
            </w:tcBorders>
            <w:shd w:val="clear" w:color="auto" w:fill="FFFFFF"/>
            <w:vAlign w:val="center"/>
          </w:tcPr>
          <w:p w14:paraId="11771597" w14:textId="77777777" w:rsidR="00CC0D14" w:rsidRPr="0086360E" w:rsidRDefault="00CC0D14" w:rsidP="00814DF3">
            <w:pPr>
              <w:spacing w:line="240" w:lineRule="auto"/>
              <w:jc w:val="center"/>
              <w:rPr>
                <w:rFonts w:cs="Times New Roman"/>
                <w:szCs w:val="24"/>
              </w:rPr>
            </w:pPr>
            <w:r w:rsidRPr="0086360E">
              <w:rPr>
                <w:rFonts w:cs="Times New Roman"/>
                <w:szCs w:val="24"/>
              </w:rPr>
              <w:t>Dependent Variable</w:t>
            </w:r>
          </w:p>
        </w:tc>
        <w:tc>
          <w:tcPr>
            <w:tcW w:w="1350" w:type="dxa"/>
            <w:gridSpan w:val="2"/>
            <w:tcBorders>
              <w:top w:val="single" w:sz="4" w:space="0" w:color="auto"/>
              <w:left w:val="nil"/>
              <w:bottom w:val="single" w:sz="8" w:space="0" w:color="152935"/>
              <w:right w:val="single" w:sz="8" w:space="0" w:color="E0E0E0"/>
            </w:tcBorders>
            <w:shd w:val="clear" w:color="auto" w:fill="FFFFFF"/>
            <w:vAlign w:val="center"/>
          </w:tcPr>
          <w:p w14:paraId="20840A8A" w14:textId="77777777" w:rsidR="00CC0D14" w:rsidRPr="0086360E" w:rsidRDefault="00CC0D14" w:rsidP="00814DF3">
            <w:pPr>
              <w:spacing w:line="240" w:lineRule="auto"/>
              <w:jc w:val="center"/>
              <w:rPr>
                <w:rFonts w:cs="Times New Roman"/>
                <w:szCs w:val="24"/>
              </w:rPr>
            </w:pPr>
            <w:r w:rsidRPr="0086360E">
              <w:rPr>
                <w:rFonts w:cs="Times New Roman"/>
                <w:szCs w:val="24"/>
              </w:rPr>
              <w:t>Type III Sum of Squares</w:t>
            </w:r>
          </w:p>
        </w:tc>
        <w:tc>
          <w:tcPr>
            <w:tcW w:w="720" w:type="dxa"/>
            <w:gridSpan w:val="2"/>
            <w:tcBorders>
              <w:top w:val="single" w:sz="4" w:space="0" w:color="auto"/>
              <w:left w:val="single" w:sz="8" w:space="0" w:color="E0E0E0"/>
              <w:bottom w:val="single" w:sz="8" w:space="0" w:color="152935"/>
              <w:right w:val="single" w:sz="8" w:space="0" w:color="E0E0E0"/>
            </w:tcBorders>
            <w:shd w:val="clear" w:color="auto" w:fill="FFFFFF"/>
            <w:vAlign w:val="center"/>
          </w:tcPr>
          <w:p w14:paraId="04950AF5" w14:textId="77777777" w:rsidR="00CC0D14" w:rsidRPr="0086360E" w:rsidRDefault="00CC0D14" w:rsidP="00814DF3">
            <w:pPr>
              <w:spacing w:line="240" w:lineRule="auto"/>
              <w:jc w:val="center"/>
              <w:rPr>
                <w:rFonts w:cs="Times New Roman"/>
                <w:szCs w:val="24"/>
              </w:rPr>
            </w:pPr>
            <w:proofErr w:type="spellStart"/>
            <w:r w:rsidRPr="0086360E">
              <w:rPr>
                <w:rFonts w:cs="Times New Roman"/>
                <w:szCs w:val="24"/>
              </w:rPr>
              <w:t>df</w:t>
            </w:r>
            <w:proofErr w:type="spellEnd"/>
          </w:p>
        </w:tc>
        <w:tc>
          <w:tcPr>
            <w:tcW w:w="1080" w:type="dxa"/>
            <w:tcBorders>
              <w:top w:val="single" w:sz="4" w:space="0" w:color="auto"/>
              <w:left w:val="single" w:sz="8" w:space="0" w:color="E0E0E0"/>
              <w:bottom w:val="single" w:sz="8" w:space="0" w:color="152935"/>
              <w:right w:val="single" w:sz="8" w:space="0" w:color="E0E0E0"/>
            </w:tcBorders>
            <w:shd w:val="clear" w:color="auto" w:fill="FFFFFF"/>
            <w:vAlign w:val="center"/>
          </w:tcPr>
          <w:p w14:paraId="64D1FCAB" w14:textId="77777777" w:rsidR="00CC0D14" w:rsidRPr="0086360E" w:rsidRDefault="00CC0D14" w:rsidP="00814DF3">
            <w:pPr>
              <w:spacing w:line="240" w:lineRule="auto"/>
              <w:jc w:val="center"/>
              <w:rPr>
                <w:rFonts w:cs="Times New Roman"/>
                <w:szCs w:val="24"/>
              </w:rPr>
            </w:pPr>
            <w:r w:rsidRPr="0086360E">
              <w:rPr>
                <w:rFonts w:cs="Times New Roman"/>
                <w:szCs w:val="24"/>
              </w:rPr>
              <w:t>Mean Square</w:t>
            </w:r>
          </w:p>
        </w:tc>
        <w:tc>
          <w:tcPr>
            <w:tcW w:w="1170" w:type="dxa"/>
            <w:gridSpan w:val="2"/>
            <w:tcBorders>
              <w:top w:val="single" w:sz="4" w:space="0" w:color="auto"/>
              <w:left w:val="single" w:sz="8" w:space="0" w:color="E0E0E0"/>
              <w:bottom w:val="single" w:sz="8" w:space="0" w:color="152935"/>
              <w:right w:val="single" w:sz="8" w:space="0" w:color="E0E0E0"/>
            </w:tcBorders>
            <w:shd w:val="clear" w:color="auto" w:fill="FFFFFF"/>
            <w:vAlign w:val="center"/>
          </w:tcPr>
          <w:p w14:paraId="66D717A4" w14:textId="77777777" w:rsidR="00CC0D14" w:rsidRPr="0086360E" w:rsidRDefault="00CC0D14" w:rsidP="00814DF3">
            <w:pPr>
              <w:spacing w:line="240" w:lineRule="auto"/>
              <w:jc w:val="center"/>
              <w:rPr>
                <w:rFonts w:cs="Times New Roman"/>
                <w:szCs w:val="24"/>
              </w:rPr>
            </w:pPr>
            <w:r w:rsidRPr="0086360E">
              <w:rPr>
                <w:rFonts w:cs="Times New Roman"/>
                <w:szCs w:val="24"/>
              </w:rPr>
              <w:t>F</w:t>
            </w:r>
          </w:p>
        </w:tc>
        <w:tc>
          <w:tcPr>
            <w:tcW w:w="1170" w:type="dxa"/>
            <w:gridSpan w:val="2"/>
            <w:tcBorders>
              <w:top w:val="single" w:sz="4" w:space="0" w:color="auto"/>
              <w:left w:val="single" w:sz="8" w:space="0" w:color="E0E0E0"/>
              <w:bottom w:val="single" w:sz="8" w:space="0" w:color="152935"/>
              <w:right w:val="nil"/>
            </w:tcBorders>
            <w:shd w:val="clear" w:color="auto" w:fill="FFFFFF"/>
            <w:vAlign w:val="center"/>
          </w:tcPr>
          <w:p w14:paraId="64B2E184" w14:textId="77777777" w:rsidR="00CC0D14" w:rsidRPr="0086360E" w:rsidRDefault="00CC0D14" w:rsidP="00814DF3">
            <w:pPr>
              <w:spacing w:line="240" w:lineRule="auto"/>
              <w:jc w:val="center"/>
              <w:rPr>
                <w:rFonts w:cs="Times New Roman"/>
                <w:szCs w:val="24"/>
              </w:rPr>
            </w:pPr>
            <w:r w:rsidRPr="0086360E">
              <w:rPr>
                <w:rFonts w:cs="Times New Roman"/>
                <w:szCs w:val="24"/>
              </w:rPr>
              <w:t>Sig.</w:t>
            </w:r>
          </w:p>
        </w:tc>
      </w:tr>
      <w:tr w:rsidR="00CC0D14" w:rsidRPr="0086360E" w14:paraId="3A24FAEC" w14:textId="77777777" w:rsidTr="00814DF3">
        <w:trPr>
          <w:gridAfter w:val="1"/>
          <w:wAfter w:w="41" w:type="dxa"/>
          <w:cantSplit/>
        </w:trPr>
        <w:tc>
          <w:tcPr>
            <w:tcW w:w="810" w:type="dxa"/>
            <w:vMerge w:val="restart"/>
            <w:tcBorders>
              <w:top w:val="single" w:sz="8" w:space="0" w:color="152935"/>
              <w:left w:val="nil"/>
              <w:bottom w:val="single" w:sz="4" w:space="0" w:color="auto"/>
              <w:right w:val="nil"/>
            </w:tcBorders>
            <w:shd w:val="clear" w:color="auto" w:fill="E0E0E0"/>
            <w:vAlign w:val="center"/>
          </w:tcPr>
          <w:p w14:paraId="51247942" w14:textId="77777777" w:rsidR="00CC0D14" w:rsidRPr="0086360E" w:rsidRDefault="00CC0D14" w:rsidP="00814DF3">
            <w:pPr>
              <w:spacing w:after="240" w:line="240" w:lineRule="auto"/>
              <w:jc w:val="center"/>
              <w:rPr>
                <w:rFonts w:cs="Times New Roman"/>
                <w:szCs w:val="24"/>
              </w:rPr>
            </w:pPr>
            <w:r w:rsidRPr="0086360E">
              <w:rPr>
                <w:rFonts w:cs="Times New Roman"/>
                <w:szCs w:val="24"/>
              </w:rPr>
              <w:t>Trust</w:t>
            </w:r>
          </w:p>
        </w:tc>
        <w:tc>
          <w:tcPr>
            <w:tcW w:w="2430" w:type="dxa"/>
            <w:gridSpan w:val="3"/>
            <w:tcBorders>
              <w:top w:val="single" w:sz="8" w:space="0" w:color="AEAEAE"/>
              <w:left w:val="nil"/>
              <w:bottom w:val="single" w:sz="8" w:space="0" w:color="AEAEAE"/>
              <w:right w:val="nil"/>
            </w:tcBorders>
            <w:shd w:val="clear" w:color="auto" w:fill="E0E0E0"/>
            <w:vAlign w:val="center"/>
          </w:tcPr>
          <w:p w14:paraId="7F4CB19D" w14:textId="77777777" w:rsidR="00CC0D14" w:rsidRPr="0086360E" w:rsidRDefault="00CC0D14" w:rsidP="00814DF3">
            <w:pPr>
              <w:spacing w:after="240" w:line="240" w:lineRule="auto"/>
              <w:rPr>
                <w:rFonts w:cs="Times New Roman"/>
                <w:szCs w:val="24"/>
              </w:rPr>
            </w:pPr>
            <w:r w:rsidRPr="0086360E">
              <w:rPr>
                <w:rFonts w:cs="Times New Roman"/>
                <w:szCs w:val="24"/>
              </w:rPr>
              <w:t>Customer Satisfaction</w:t>
            </w:r>
          </w:p>
        </w:tc>
        <w:tc>
          <w:tcPr>
            <w:tcW w:w="1350" w:type="dxa"/>
            <w:gridSpan w:val="2"/>
            <w:tcBorders>
              <w:top w:val="single" w:sz="8" w:space="0" w:color="AEAEAE"/>
              <w:left w:val="nil"/>
              <w:bottom w:val="single" w:sz="8" w:space="0" w:color="AEAEAE"/>
              <w:right w:val="single" w:sz="8" w:space="0" w:color="E0E0E0"/>
            </w:tcBorders>
            <w:shd w:val="clear" w:color="auto" w:fill="FFFFFF"/>
            <w:vAlign w:val="center"/>
          </w:tcPr>
          <w:p w14:paraId="3C46CFAB" w14:textId="77777777" w:rsidR="00CC0D14" w:rsidRPr="0086360E" w:rsidRDefault="00CC0D14" w:rsidP="00814DF3">
            <w:pPr>
              <w:spacing w:after="240" w:line="240" w:lineRule="auto"/>
              <w:jc w:val="right"/>
              <w:rPr>
                <w:rFonts w:cs="Times New Roman"/>
                <w:szCs w:val="24"/>
              </w:rPr>
            </w:pPr>
            <w:r w:rsidRPr="0086360E">
              <w:rPr>
                <w:rFonts w:cs="Times New Roman"/>
                <w:szCs w:val="24"/>
              </w:rPr>
              <w:t>68.991</w:t>
            </w:r>
          </w:p>
        </w:tc>
        <w:tc>
          <w:tcPr>
            <w:tcW w:w="720"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0399A1E0" w14:textId="77777777" w:rsidR="00CC0D14" w:rsidRPr="0086360E" w:rsidRDefault="00CC0D14" w:rsidP="00814DF3">
            <w:pPr>
              <w:spacing w:after="240" w:line="240" w:lineRule="auto"/>
              <w:jc w:val="right"/>
              <w:rPr>
                <w:rFonts w:cs="Times New Roman"/>
                <w:szCs w:val="24"/>
              </w:rPr>
            </w:pPr>
            <w:r w:rsidRPr="0086360E">
              <w:rPr>
                <w:rFonts w:cs="Times New Roman"/>
                <w:szCs w:val="24"/>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E3BE2E" w14:textId="77777777" w:rsidR="00CC0D14" w:rsidRPr="0086360E" w:rsidRDefault="00CC0D14" w:rsidP="00814DF3">
            <w:pPr>
              <w:spacing w:after="240" w:line="240" w:lineRule="auto"/>
              <w:jc w:val="right"/>
              <w:rPr>
                <w:rFonts w:cs="Times New Roman"/>
                <w:szCs w:val="24"/>
              </w:rPr>
            </w:pPr>
            <w:r w:rsidRPr="0086360E">
              <w:rPr>
                <w:rFonts w:cs="Times New Roman"/>
                <w:szCs w:val="24"/>
              </w:rPr>
              <w:t>5.749</w:t>
            </w:r>
          </w:p>
        </w:tc>
        <w:tc>
          <w:tcPr>
            <w:tcW w:w="1170"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3703C034" w14:textId="77777777" w:rsidR="00CC0D14" w:rsidRPr="0086360E" w:rsidRDefault="00CC0D14" w:rsidP="00814DF3">
            <w:pPr>
              <w:spacing w:after="240" w:line="240" w:lineRule="auto"/>
              <w:jc w:val="right"/>
              <w:rPr>
                <w:rFonts w:cs="Times New Roman"/>
                <w:szCs w:val="24"/>
              </w:rPr>
            </w:pPr>
            <w:r w:rsidRPr="0086360E">
              <w:rPr>
                <w:rFonts w:cs="Times New Roman"/>
                <w:szCs w:val="24"/>
              </w:rPr>
              <w:t>11.036</w:t>
            </w:r>
          </w:p>
        </w:tc>
        <w:tc>
          <w:tcPr>
            <w:tcW w:w="1170" w:type="dxa"/>
            <w:gridSpan w:val="2"/>
            <w:tcBorders>
              <w:top w:val="single" w:sz="8" w:space="0" w:color="AEAEAE"/>
              <w:left w:val="single" w:sz="8" w:space="0" w:color="E0E0E0"/>
              <w:bottom w:val="single" w:sz="8" w:space="0" w:color="AEAEAE"/>
              <w:right w:val="nil"/>
            </w:tcBorders>
            <w:shd w:val="clear" w:color="auto" w:fill="FFFFFF"/>
            <w:vAlign w:val="center"/>
          </w:tcPr>
          <w:p w14:paraId="25F16E66" w14:textId="77777777" w:rsidR="00CC0D14" w:rsidRPr="0086360E" w:rsidRDefault="00CC0D14" w:rsidP="00814DF3">
            <w:pPr>
              <w:spacing w:after="240" w:line="240" w:lineRule="auto"/>
              <w:jc w:val="right"/>
              <w:rPr>
                <w:rFonts w:cs="Times New Roman"/>
                <w:szCs w:val="24"/>
              </w:rPr>
            </w:pPr>
            <w:r w:rsidRPr="0086360E">
              <w:rPr>
                <w:rFonts w:cs="Times New Roman"/>
                <w:szCs w:val="24"/>
              </w:rPr>
              <w:t>.034</w:t>
            </w:r>
          </w:p>
        </w:tc>
      </w:tr>
      <w:tr w:rsidR="00CC0D14" w:rsidRPr="0086360E" w14:paraId="1DD69551" w14:textId="77777777" w:rsidTr="00814DF3">
        <w:trPr>
          <w:gridAfter w:val="1"/>
          <w:wAfter w:w="41" w:type="dxa"/>
          <w:cantSplit/>
        </w:trPr>
        <w:tc>
          <w:tcPr>
            <w:tcW w:w="810" w:type="dxa"/>
            <w:vMerge/>
            <w:tcBorders>
              <w:top w:val="single" w:sz="8" w:space="0" w:color="AEAEAE"/>
              <w:left w:val="nil"/>
              <w:bottom w:val="single" w:sz="4" w:space="0" w:color="auto"/>
              <w:right w:val="nil"/>
            </w:tcBorders>
            <w:shd w:val="clear" w:color="auto" w:fill="E0E0E0"/>
            <w:vAlign w:val="center"/>
          </w:tcPr>
          <w:p w14:paraId="37BB0E98" w14:textId="77777777" w:rsidR="00CC0D14" w:rsidRPr="0086360E" w:rsidRDefault="00CC0D14" w:rsidP="00814DF3">
            <w:pPr>
              <w:spacing w:after="240" w:line="240" w:lineRule="auto"/>
              <w:jc w:val="right"/>
              <w:rPr>
                <w:rFonts w:cs="Times New Roman"/>
                <w:szCs w:val="24"/>
              </w:rPr>
            </w:pPr>
          </w:p>
        </w:tc>
        <w:tc>
          <w:tcPr>
            <w:tcW w:w="2430" w:type="dxa"/>
            <w:gridSpan w:val="3"/>
            <w:tcBorders>
              <w:top w:val="single" w:sz="8" w:space="0" w:color="AEAEAE"/>
              <w:left w:val="nil"/>
              <w:bottom w:val="single" w:sz="8" w:space="0" w:color="AEAEAE"/>
              <w:right w:val="nil"/>
            </w:tcBorders>
            <w:shd w:val="clear" w:color="auto" w:fill="E0E0E0"/>
            <w:vAlign w:val="center"/>
          </w:tcPr>
          <w:p w14:paraId="1E2BB569" w14:textId="77777777" w:rsidR="00CC0D14" w:rsidRPr="0086360E" w:rsidRDefault="00CC0D14" w:rsidP="00814DF3">
            <w:pPr>
              <w:spacing w:after="240" w:line="240" w:lineRule="auto"/>
              <w:rPr>
                <w:rFonts w:cs="Times New Roman"/>
                <w:szCs w:val="24"/>
              </w:rPr>
            </w:pPr>
            <w:r w:rsidRPr="0086360E">
              <w:rPr>
                <w:rFonts w:cs="Times New Roman"/>
                <w:szCs w:val="24"/>
              </w:rPr>
              <w:t>Market Competitiveness</w:t>
            </w:r>
          </w:p>
        </w:tc>
        <w:tc>
          <w:tcPr>
            <w:tcW w:w="1350" w:type="dxa"/>
            <w:gridSpan w:val="2"/>
            <w:tcBorders>
              <w:top w:val="single" w:sz="8" w:space="0" w:color="AEAEAE"/>
              <w:left w:val="nil"/>
              <w:bottom w:val="single" w:sz="8" w:space="0" w:color="AEAEAE"/>
              <w:right w:val="single" w:sz="8" w:space="0" w:color="E0E0E0"/>
            </w:tcBorders>
            <w:shd w:val="clear" w:color="auto" w:fill="FFFFFF"/>
            <w:vAlign w:val="center"/>
          </w:tcPr>
          <w:p w14:paraId="0DDB4EF8" w14:textId="77777777" w:rsidR="00CC0D14" w:rsidRPr="0086360E" w:rsidRDefault="00CC0D14" w:rsidP="00814DF3">
            <w:pPr>
              <w:spacing w:after="240" w:line="240" w:lineRule="auto"/>
              <w:jc w:val="right"/>
              <w:rPr>
                <w:rFonts w:cs="Times New Roman"/>
                <w:szCs w:val="24"/>
              </w:rPr>
            </w:pPr>
            <w:r w:rsidRPr="0086360E">
              <w:rPr>
                <w:rFonts w:cs="Times New Roman"/>
                <w:szCs w:val="24"/>
              </w:rPr>
              <w:t>58.727</w:t>
            </w:r>
          </w:p>
        </w:tc>
        <w:tc>
          <w:tcPr>
            <w:tcW w:w="720"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3171410F" w14:textId="77777777" w:rsidR="00CC0D14" w:rsidRPr="0086360E" w:rsidRDefault="00CC0D14" w:rsidP="00814DF3">
            <w:pPr>
              <w:spacing w:after="240" w:line="240" w:lineRule="auto"/>
              <w:jc w:val="right"/>
              <w:rPr>
                <w:rFonts w:cs="Times New Roman"/>
                <w:szCs w:val="24"/>
              </w:rPr>
            </w:pPr>
            <w:r w:rsidRPr="0086360E">
              <w:rPr>
                <w:rFonts w:cs="Times New Roman"/>
                <w:szCs w:val="24"/>
              </w:rPr>
              <w:t>12</w:t>
            </w:r>
          </w:p>
        </w:tc>
        <w:tc>
          <w:tcPr>
            <w:tcW w:w="108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D9A26E" w14:textId="77777777" w:rsidR="00CC0D14" w:rsidRPr="0086360E" w:rsidRDefault="00CC0D14" w:rsidP="00814DF3">
            <w:pPr>
              <w:spacing w:after="240" w:line="240" w:lineRule="auto"/>
              <w:jc w:val="right"/>
              <w:rPr>
                <w:rFonts w:cs="Times New Roman"/>
                <w:szCs w:val="24"/>
              </w:rPr>
            </w:pPr>
            <w:r w:rsidRPr="0086360E">
              <w:rPr>
                <w:rFonts w:cs="Times New Roman"/>
                <w:szCs w:val="24"/>
              </w:rPr>
              <w:t>4.894</w:t>
            </w:r>
          </w:p>
        </w:tc>
        <w:tc>
          <w:tcPr>
            <w:tcW w:w="1170"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183948D4" w14:textId="77777777" w:rsidR="00CC0D14" w:rsidRPr="0086360E" w:rsidRDefault="00CC0D14" w:rsidP="00814DF3">
            <w:pPr>
              <w:spacing w:after="240" w:line="240" w:lineRule="auto"/>
              <w:jc w:val="right"/>
              <w:rPr>
                <w:rFonts w:cs="Times New Roman"/>
                <w:szCs w:val="24"/>
              </w:rPr>
            </w:pPr>
            <w:r w:rsidRPr="0086360E">
              <w:rPr>
                <w:rFonts w:cs="Times New Roman"/>
                <w:szCs w:val="24"/>
              </w:rPr>
              <w:t>16.673</w:t>
            </w:r>
          </w:p>
        </w:tc>
        <w:tc>
          <w:tcPr>
            <w:tcW w:w="1170" w:type="dxa"/>
            <w:gridSpan w:val="2"/>
            <w:tcBorders>
              <w:top w:val="single" w:sz="8" w:space="0" w:color="AEAEAE"/>
              <w:left w:val="single" w:sz="8" w:space="0" w:color="E0E0E0"/>
              <w:bottom w:val="single" w:sz="8" w:space="0" w:color="AEAEAE"/>
              <w:right w:val="nil"/>
            </w:tcBorders>
            <w:shd w:val="clear" w:color="auto" w:fill="FFFFFF"/>
            <w:vAlign w:val="center"/>
          </w:tcPr>
          <w:p w14:paraId="68ABB1F3" w14:textId="77777777" w:rsidR="00CC0D14" w:rsidRPr="0086360E" w:rsidRDefault="00CC0D14" w:rsidP="00814DF3">
            <w:pPr>
              <w:spacing w:after="240" w:line="240" w:lineRule="auto"/>
              <w:jc w:val="right"/>
              <w:rPr>
                <w:rFonts w:cs="Times New Roman"/>
                <w:szCs w:val="24"/>
              </w:rPr>
            </w:pPr>
            <w:r w:rsidRPr="0086360E">
              <w:rPr>
                <w:rFonts w:cs="Times New Roman"/>
                <w:szCs w:val="24"/>
              </w:rPr>
              <w:t>.026</w:t>
            </w:r>
          </w:p>
        </w:tc>
      </w:tr>
      <w:tr w:rsidR="00CC0D14" w:rsidRPr="0086360E" w14:paraId="262D9CF9" w14:textId="77777777" w:rsidTr="00814DF3">
        <w:trPr>
          <w:gridAfter w:val="1"/>
          <w:wAfter w:w="41" w:type="dxa"/>
          <w:cantSplit/>
        </w:trPr>
        <w:tc>
          <w:tcPr>
            <w:tcW w:w="810" w:type="dxa"/>
            <w:vMerge/>
            <w:tcBorders>
              <w:top w:val="single" w:sz="8" w:space="0" w:color="AEAEAE"/>
              <w:left w:val="nil"/>
              <w:bottom w:val="single" w:sz="4" w:space="0" w:color="auto"/>
              <w:right w:val="nil"/>
            </w:tcBorders>
            <w:shd w:val="clear" w:color="auto" w:fill="E0E0E0"/>
            <w:vAlign w:val="center"/>
          </w:tcPr>
          <w:p w14:paraId="4C2AF654" w14:textId="77777777" w:rsidR="00CC0D14" w:rsidRPr="0086360E" w:rsidRDefault="00CC0D14" w:rsidP="00814DF3">
            <w:pPr>
              <w:spacing w:after="240" w:line="240" w:lineRule="auto"/>
              <w:jc w:val="right"/>
              <w:rPr>
                <w:rFonts w:cs="Times New Roman"/>
                <w:szCs w:val="24"/>
              </w:rPr>
            </w:pPr>
          </w:p>
        </w:tc>
        <w:tc>
          <w:tcPr>
            <w:tcW w:w="2430" w:type="dxa"/>
            <w:gridSpan w:val="3"/>
            <w:tcBorders>
              <w:top w:val="single" w:sz="8" w:space="0" w:color="AEAEAE"/>
              <w:left w:val="nil"/>
              <w:bottom w:val="single" w:sz="4" w:space="0" w:color="auto"/>
              <w:right w:val="nil"/>
            </w:tcBorders>
            <w:shd w:val="clear" w:color="auto" w:fill="E0E0E0"/>
            <w:vAlign w:val="center"/>
          </w:tcPr>
          <w:p w14:paraId="2738CD4F" w14:textId="77777777" w:rsidR="00CC0D14" w:rsidRPr="0086360E" w:rsidRDefault="00CC0D14" w:rsidP="00814DF3">
            <w:pPr>
              <w:spacing w:after="240" w:line="240" w:lineRule="auto"/>
              <w:rPr>
                <w:rFonts w:cs="Times New Roman"/>
                <w:szCs w:val="24"/>
              </w:rPr>
            </w:pPr>
            <w:r w:rsidRPr="0086360E">
              <w:rPr>
                <w:rFonts w:cs="Times New Roman"/>
                <w:szCs w:val="24"/>
              </w:rPr>
              <w:t>Operational Efficiency</w:t>
            </w:r>
          </w:p>
        </w:tc>
        <w:tc>
          <w:tcPr>
            <w:tcW w:w="1350" w:type="dxa"/>
            <w:gridSpan w:val="2"/>
            <w:tcBorders>
              <w:top w:val="single" w:sz="8" w:space="0" w:color="AEAEAE"/>
              <w:left w:val="nil"/>
              <w:bottom w:val="single" w:sz="4" w:space="0" w:color="auto"/>
              <w:right w:val="single" w:sz="8" w:space="0" w:color="E0E0E0"/>
            </w:tcBorders>
            <w:shd w:val="clear" w:color="auto" w:fill="FFFFFF"/>
            <w:vAlign w:val="center"/>
          </w:tcPr>
          <w:p w14:paraId="49290C8A" w14:textId="77777777" w:rsidR="00CC0D14" w:rsidRPr="0086360E" w:rsidRDefault="00CC0D14" w:rsidP="00814DF3">
            <w:pPr>
              <w:spacing w:after="240" w:line="240" w:lineRule="auto"/>
              <w:jc w:val="right"/>
              <w:rPr>
                <w:rFonts w:cs="Times New Roman"/>
                <w:szCs w:val="24"/>
              </w:rPr>
            </w:pPr>
            <w:r w:rsidRPr="0086360E">
              <w:rPr>
                <w:rFonts w:cs="Times New Roman"/>
                <w:szCs w:val="24"/>
              </w:rPr>
              <w:t>72.302</w:t>
            </w:r>
          </w:p>
        </w:tc>
        <w:tc>
          <w:tcPr>
            <w:tcW w:w="720"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46D2F6DB" w14:textId="77777777" w:rsidR="00CC0D14" w:rsidRPr="0086360E" w:rsidRDefault="00CC0D14" w:rsidP="00814DF3">
            <w:pPr>
              <w:spacing w:after="240" w:line="240" w:lineRule="auto"/>
              <w:jc w:val="right"/>
              <w:rPr>
                <w:rFonts w:cs="Times New Roman"/>
                <w:szCs w:val="24"/>
              </w:rPr>
            </w:pPr>
            <w:r w:rsidRPr="0086360E">
              <w:rPr>
                <w:rFonts w:cs="Times New Roman"/>
                <w:szCs w:val="24"/>
              </w:rPr>
              <w:t>12</w:t>
            </w:r>
          </w:p>
        </w:tc>
        <w:tc>
          <w:tcPr>
            <w:tcW w:w="1080" w:type="dxa"/>
            <w:tcBorders>
              <w:top w:val="single" w:sz="8" w:space="0" w:color="AEAEAE"/>
              <w:left w:val="single" w:sz="8" w:space="0" w:color="E0E0E0"/>
              <w:bottom w:val="single" w:sz="4" w:space="0" w:color="auto"/>
              <w:right w:val="single" w:sz="8" w:space="0" w:color="E0E0E0"/>
            </w:tcBorders>
            <w:shd w:val="clear" w:color="auto" w:fill="FFFFFF"/>
            <w:vAlign w:val="center"/>
          </w:tcPr>
          <w:p w14:paraId="2654F88A" w14:textId="77777777" w:rsidR="00CC0D14" w:rsidRPr="0086360E" w:rsidRDefault="00CC0D14" w:rsidP="00814DF3">
            <w:pPr>
              <w:spacing w:after="240" w:line="240" w:lineRule="auto"/>
              <w:jc w:val="right"/>
              <w:rPr>
                <w:rFonts w:cs="Times New Roman"/>
                <w:szCs w:val="24"/>
              </w:rPr>
            </w:pPr>
            <w:r w:rsidRPr="0086360E">
              <w:rPr>
                <w:rFonts w:cs="Times New Roman"/>
                <w:szCs w:val="24"/>
              </w:rPr>
              <w:t>6.025</w:t>
            </w:r>
          </w:p>
        </w:tc>
        <w:tc>
          <w:tcPr>
            <w:tcW w:w="1170"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24CF9CD4" w14:textId="77777777" w:rsidR="00CC0D14" w:rsidRPr="0086360E" w:rsidRDefault="00CC0D14" w:rsidP="00814DF3">
            <w:pPr>
              <w:spacing w:after="240" w:line="240" w:lineRule="auto"/>
              <w:jc w:val="right"/>
              <w:rPr>
                <w:rFonts w:cs="Times New Roman"/>
                <w:szCs w:val="24"/>
              </w:rPr>
            </w:pPr>
            <w:r w:rsidRPr="0086360E">
              <w:rPr>
                <w:rFonts w:cs="Times New Roman"/>
                <w:szCs w:val="24"/>
              </w:rPr>
              <w:t>22.005</w:t>
            </w:r>
          </w:p>
        </w:tc>
        <w:tc>
          <w:tcPr>
            <w:tcW w:w="1170" w:type="dxa"/>
            <w:gridSpan w:val="2"/>
            <w:tcBorders>
              <w:top w:val="single" w:sz="8" w:space="0" w:color="AEAEAE"/>
              <w:left w:val="single" w:sz="8" w:space="0" w:color="E0E0E0"/>
              <w:bottom w:val="single" w:sz="4" w:space="0" w:color="auto"/>
              <w:right w:val="nil"/>
            </w:tcBorders>
            <w:shd w:val="clear" w:color="auto" w:fill="FFFFFF"/>
            <w:vAlign w:val="center"/>
          </w:tcPr>
          <w:p w14:paraId="4BC02A8F" w14:textId="77777777" w:rsidR="00CC0D14" w:rsidRPr="0086360E" w:rsidRDefault="00CC0D14" w:rsidP="00814DF3">
            <w:pPr>
              <w:spacing w:after="240" w:line="240" w:lineRule="auto"/>
              <w:jc w:val="right"/>
              <w:rPr>
                <w:rFonts w:cs="Times New Roman"/>
                <w:szCs w:val="24"/>
              </w:rPr>
            </w:pPr>
            <w:r w:rsidRPr="0086360E">
              <w:rPr>
                <w:rFonts w:cs="Times New Roman"/>
                <w:szCs w:val="24"/>
              </w:rPr>
              <w:t>.003</w:t>
            </w:r>
          </w:p>
        </w:tc>
      </w:tr>
      <w:tr w:rsidR="00CC0D14" w:rsidRPr="0086360E" w14:paraId="746FC27B" w14:textId="77777777" w:rsidTr="00814DF3">
        <w:trPr>
          <w:gridAfter w:val="1"/>
          <w:wAfter w:w="41" w:type="dxa"/>
          <w:cantSplit/>
        </w:trPr>
        <w:tc>
          <w:tcPr>
            <w:tcW w:w="8730" w:type="dxa"/>
            <w:gridSpan w:val="13"/>
            <w:tcBorders>
              <w:top w:val="nil"/>
              <w:left w:val="nil"/>
              <w:bottom w:val="nil"/>
              <w:right w:val="nil"/>
            </w:tcBorders>
            <w:shd w:val="clear" w:color="auto" w:fill="FFFFFF"/>
          </w:tcPr>
          <w:p w14:paraId="3EEBBAF3" w14:textId="77777777" w:rsidR="00CC0D14" w:rsidRPr="0086360E" w:rsidRDefault="00CC0D14" w:rsidP="00814DF3">
            <w:pPr>
              <w:spacing w:line="240" w:lineRule="auto"/>
              <w:rPr>
                <w:rFonts w:cs="Times New Roman"/>
                <w:szCs w:val="24"/>
              </w:rPr>
            </w:pPr>
            <w:r w:rsidRPr="0086360E">
              <w:rPr>
                <w:rFonts w:cs="Times New Roman"/>
                <w:szCs w:val="24"/>
              </w:rPr>
              <w:t>a. R Squared = 736 (Adjusted R Squared = .541)</w:t>
            </w:r>
          </w:p>
        </w:tc>
      </w:tr>
      <w:tr w:rsidR="00CC0D14" w:rsidRPr="0086360E" w14:paraId="4D097113" w14:textId="77777777" w:rsidTr="00814DF3">
        <w:trPr>
          <w:gridAfter w:val="1"/>
          <w:wAfter w:w="41" w:type="dxa"/>
          <w:cantSplit/>
        </w:trPr>
        <w:tc>
          <w:tcPr>
            <w:tcW w:w="8730" w:type="dxa"/>
            <w:gridSpan w:val="13"/>
            <w:tcBorders>
              <w:top w:val="nil"/>
              <w:left w:val="nil"/>
              <w:bottom w:val="nil"/>
              <w:right w:val="nil"/>
            </w:tcBorders>
            <w:shd w:val="clear" w:color="auto" w:fill="FFFFFF"/>
          </w:tcPr>
          <w:p w14:paraId="7E84F073" w14:textId="77777777" w:rsidR="00CC0D14" w:rsidRPr="0086360E" w:rsidRDefault="00CC0D14" w:rsidP="00814DF3">
            <w:pPr>
              <w:spacing w:line="240" w:lineRule="auto"/>
              <w:rPr>
                <w:rFonts w:cs="Times New Roman"/>
                <w:szCs w:val="24"/>
              </w:rPr>
            </w:pPr>
            <w:r w:rsidRPr="0086360E">
              <w:rPr>
                <w:rFonts w:cs="Times New Roman"/>
                <w:szCs w:val="24"/>
              </w:rPr>
              <w:lastRenderedPageBreak/>
              <w:t>b. R Squared = .620 (Adjusted R Squared = .384)</w:t>
            </w:r>
          </w:p>
        </w:tc>
      </w:tr>
      <w:tr w:rsidR="00CC0D14" w:rsidRPr="0086360E" w14:paraId="08EEA463" w14:textId="77777777" w:rsidTr="00814DF3">
        <w:trPr>
          <w:gridAfter w:val="1"/>
          <w:wAfter w:w="41" w:type="dxa"/>
          <w:cantSplit/>
        </w:trPr>
        <w:tc>
          <w:tcPr>
            <w:tcW w:w="8730" w:type="dxa"/>
            <w:gridSpan w:val="13"/>
            <w:tcBorders>
              <w:top w:val="nil"/>
              <w:left w:val="nil"/>
              <w:bottom w:val="single" w:sz="4" w:space="0" w:color="auto"/>
              <w:right w:val="nil"/>
            </w:tcBorders>
            <w:shd w:val="clear" w:color="auto" w:fill="FFFFFF"/>
          </w:tcPr>
          <w:p w14:paraId="7E43C522" w14:textId="77777777" w:rsidR="00CC0D14" w:rsidRPr="0086360E" w:rsidRDefault="00CC0D14" w:rsidP="00814DF3">
            <w:pPr>
              <w:spacing w:line="240" w:lineRule="auto"/>
              <w:rPr>
                <w:rFonts w:cs="Times New Roman"/>
                <w:szCs w:val="24"/>
              </w:rPr>
            </w:pPr>
            <w:r w:rsidRPr="0086360E">
              <w:rPr>
                <w:rFonts w:cs="Times New Roman"/>
                <w:szCs w:val="24"/>
              </w:rPr>
              <w:t>c. R Squared = .636 (Adjusted R Squared = .398)</w:t>
            </w:r>
          </w:p>
        </w:tc>
      </w:tr>
    </w:tbl>
    <w:p w14:paraId="46252755" w14:textId="77777777" w:rsidR="00CC0D14" w:rsidRPr="0086360E" w:rsidRDefault="00CC0D14" w:rsidP="00CC0D14">
      <w:pPr>
        <w:spacing w:line="240" w:lineRule="auto"/>
        <w:rPr>
          <w:rFonts w:cs="Times New Roman"/>
          <w:b/>
          <w:bCs/>
          <w:i/>
          <w:iCs/>
          <w:szCs w:val="24"/>
        </w:rPr>
      </w:pPr>
      <w:r w:rsidRPr="0086360E">
        <w:rPr>
          <w:rFonts w:cs="Times New Roman"/>
          <w:b/>
          <w:bCs/>
          <w:i/>
          <w:iCs/>
          <w:szCs w:val="24"/>
        </w:rPr>
        <w:t>Source: SPSS V25 MANOVA Output</w:t>
      </w:r>
    </w:p>
    <w:p w14:paraId="1A62B8A7" w14:textId="77777777" w:rsidR="00CC0D14" w:rsidRPr="0086360E" w:rsidRDefault="00CC0D14" w:rsidP="00CC0D14">
      <w:pPr>
        <w:pStyle w:val="Heading3"/>
        <w:spacing w:line="240" w:lineRule="auto"/>
        <w:rPr>
          <w:rFonts w:cs="Times New Roman"/>
          <w:sz w:val="24"/>
          <w:szCs w:val="24"/>
        </w:rPr>
      </w:pPr>
      <w:bookmarkStart w:id="2" w:name="_Toc213387143"/>
      <w:r w:rsidRPr="0086360E">
        <w:rPr>
          <w:rFonts w:cs="Times New Roman"/>
          <w:sz w:val="24"/>
          <w:szCs w:val="24"/>
        </w:rPr>
        <w:t>MANOVA Results for Hypothesis Two</w:t>
      </w:r>
      <w:bookmarkEnd w:id="2"/>
    </w:p>
    <w:p w14:paraId="5852B12A" w14:textId="77777777" w:rsidR="00CC0D14" w:rsidRPr="0086360E" w:rsidRDefault="00CC0D14" w:rsidP="00CC0D14">
      <w:pPr>
        <w:spacing w:after="240" w:line="240" w:lineRule="auto"/>
        <w:rPr>
          <w:rFonts w:cs="Times New Roman"/>
          <w:szCs w:val="24"/>
        </w:rPr>
      </w:pPr>
      <w:r w:rsidRPr="0086360E">
        <w:rPr>
          <w:rFonts w:cs="Times New Roman"/>
          <w:szCs w:val="24"/>
        </w:rPr>
        <w:t xml:space="preserve">Table 1 shows the MANOVA results for the effect of commitment on the performance of selected deposit money banks in Lagos State. The multivariate test based on Wilks’ Lambda produced a value of Λ = 0.261, with </w:t>
      </w:r>
      <w:proofErr w:type="gramStart"/>
      <w:r w:rsidRPr="0086360E">
        <w:rPr>
          <w:rFonts w:cs="Times New Roman"/>
          <w:szCs w:val="24"/>
        </w:rPr>
        <w:t>F(</w:t>
      </w:r>
      <w:proofErr w:type="gramEnd"/>
      <w:r w:rsidRPr="0086360E">
        <w:rPr>
          <w:rFonts w:cs="Times New Roman"/>
          <w:szCs w:val="24"/>
        </w:rPr>
        <w:t>3, 392.94) = 2512.852 and a significance level of p = 0.000. Since the p-value is less than 0.05, the result indicates a statistically significant multivariate effect of commitment on the combined performance variables. The low Wilks’ Lambda value (.261) further suggests that commitment explains a substantial portion of the variance in the three performance measures jointly, implying a strong relationship between the level of commitment and overall bank performance.</w:t>
      </w:r>
    </w:p>
    <w:p w14:paraId="77637192" w14:textId="77777777" w:rsidR="00CC0D14" w:rsidRPr="0086360E" w:rsidRDefault="00CC0D14" w:rsidP="00CC0D14">
      <w:pPr>
        <w:spacing w:after="240" w:line="240" w:lineRule="auto"/>
        <w:rPr>
          <w:rFonts w:cs="Times New Roman"/>
          <w:szCs w:val="24"/>
        </w:rPr>
      </w:pPr>
      <w:r w:rsidRPr="0086360E">
        <w:rPr>
          <w:rFonts w:cs="Times New Roman"/>
          <w:szCs w:val="24"/>
        </w:rPr>
        <w:t>The Tests of Between-Subjects Effects reveal that commitment has a significant individual effect on each performance dimension. Specifically, commitment significantly influenced customer satisfaction (F = 252.497, p = 0.000), market competitiveness (F = 432.834, p = 0.000), and operational efficiency (F = 211.603, p = 0.000). The corresponding R-squared values indicate that commitment accounts for approximately 61.1% of the variance in customer satisfaction, 64.2% of the variance in market competitiveness, and 58.1% of the variance in operational efficiency, suggesting that banks exhibiting higher levels of organizational and employee commitment tend to perform better across multiple dimensions of performance.</w:t>
      </w:r>
    </w:p>
    <w:p w14:paraId="3D08DBA9" w14:textId="77777777" w:rsidR="00CC0D14" w:rsidRPr="0086360E" w:rsidRDefault="00CC0D14" w:rsidP="00CC0D14">
      <w:pPr>
        <w:spacing w:after="240" w:line="240" w:lineRule="auto"/>
        <w:rPr>
          <w:rFonts w:cs="Times New Roman"/>
          <w:szCs w:val="24"/>
        </w:rPr>
      </w:pPr>
      <w:r w:rsidRPr="0086360E">
        <w:rPr>
          <w:rFonts w:cs="Times New Roman"/>
          <w:szCs w:val="24"/>
        </w:rPr>
        <w:t>The results confirm that commitment has a statistically significant and positive effect on the performance of Nigerian deposit money banks. Therefore, the null hypothesis which states that there is no significant relationship between commitment and performance of selected Nigerian deposit money banks in Lagos State is rejected.</w:t>
      </w:r>
    </w:p>
    <w:tbl>
      <w:tblPr>
        <w:tblW w:w="8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80"/>
        <w:gridCol w:w="1405"/>
        <w:gridCol w:w="1040"/>
        <w:gridCol w:w="165"/>
        <w:gridCol w:w="1030"/>
        <w:gridCol w:w="320"/>
        <w:gridCol w:w="630"/>
        <w:gridCol w:w="509"/>
        <w:gridCol w:w="481"/>
        <w:gridCol w:w="621"/>
        <w:gridCol w:w="279"/>
        <w:gridCol w:w="720"/>
        <w:gridCol w:w="41"/>
      </w:tblGrid>
      <w:tr w:rsidR="00CC0D14" w:rsidRPr="0086360E" w14:paraId="7BC9AC89" w14:textId="77777777" w:rsidTr="00814DF3">
        <w:trPr>
          <w:cantSplit/>
        </w:trPr>
        <w:tc>
          <w:tcPr>
            <w:tcW w:w="8771" w:type="dxa"/>
            <w:gridSpan w:val="14"/>
            <w:tcBorders>
              <w:top w:val="nil"/>
              <w:left w:val="nil"/>
              <w:bottom w:val="single" w:sz="4" w:space="0" w:color="auto"/>
              <w:right w:val="nil"/>
            </w:tcBorders>
            <w:shd w:val="clear" w:color="auto" w:fill="FFFFFF"/>
            <w:vAlign w:val="center"/>
          </w:tcPr>
          <w:p w14:paraId="17DFB259" w14:textId="77777777" w:rsidR="00CC0D14" w:rsidRPr="0086360E" w:rsidRDefault="00CC0D14" w:rsidP="00814DF3">
            <w:pPr>
              <w:spacing w:line="240" w:lineRule="auto"/>
              <w:rPr>
                <w:rFonts w:cs="Times New Roman"/>
                <w:b/>
                <w:bCs/>
                <w:szCs w:val="24"/>
              </w:rPr>
            </w:pPr>
            <w:r w:rsidRPr="0086360E">
              <w:rPr>
                <w:rFonts w:cs="Times New Roman"/>
                <w:b/>
                <w:bCs/>
                <w:szCs w:val="24"/>
              </w:rPr>
              <w:t>Table 2: Multivariate Tests – Hypothesis Two</w:t>
            </w:r>
          </w:p>
        </w:tc>
      </w:tr>
      <w:tr w:rsidR="00CC0D14" w:rsidRPr="0086360E" w14:paraId="76FF8DEE" w14:textId="77777777" w:rsidTr="00814DF3">
        <w:trPr>
          <w:cantSplit/>
        </w:trPr>
        <w:tc>
          <w:tcPr>
            <w:tcW w:w="2935" w:type="dxa"/>
            <w:gridSpan w:val="3"/>
            <w:tcBorders>
              <w:top w:val="single" w:sz="4" w:space="0" w:color="auto"/>
              <w:left w:val="nil"/>
              <w:bottom w:val="single" w:sz="8" w:space="0" w:color="AEAEAE"/>
              <w:right w:val="nil"/>
            </w:tcBorders>
            <w:shd w:val="clear" w:color="auto" w:fill="FFFFFF"/>
            <w:vAlign w:val="bottom"/>
          </w:tcPr>
          <w:p w14:paraId="02ED0A6B" w14:textId="77777777" w:rsidR="00CC0D14" w:rsidRPr="0086360E" w:rsidRDefault="00CC0D14" w:rsidP="00814DF3">
            <w:pPr>
              <w:spacing w:line="240" w:lineRule="auto"/>
              <w:rPr>
                <w:rFonts w:cs="Times New Roman"/>
                <w:szCs w:val="24"/>
              </w:rPr>
            </w:pPr>
            <w:r w:rsidRPr="0086360E">
              <w:rPr>
                <w:rFonts w:cs="Times New Roman"/>
                <w:szCs w:val="24"/>
              </w:rPr>
              <w:t>Effect</w:t>
            </w:r>
          </w:p>
        </w:tc>
        <w:tc>
          <w:tcPr>
            <w:tcW w:w="1040" w:type="dxa"/>
            <w:tcBorders>
              <w:top w:val="single" w:sz="4" w:space="0" w:color="auto"/>
              <w:left w:val="nil"/>
              <w:bottom w:val="single" w:sz="8" w:space="0" w:color="AEAEAE"/>
              <w:right w:val="single" w:sz="8" w:space="0" w:color="E0E0E0"/>
            </w:tcBorders>
            <w:shd w:val="clear" w:color="auto" w:fill="FFFFFF"/>
            <w:vAlign w:val="bottom"/>
          </w:tcPr>
          <w:p w14:paraId="5AB56E15" w14:textId="77777777" w:rsidR="00CC0D14" w:rsidRPr="0086360E" w:rsidRDefault="00CC0D14" w:rsidP="00814DF3">
            <w:pPr>
              <w:spacing w:line="240" w:lineRule="auto"/>
              <w:jc w:val="center"/>
              <w:rPr>
                <w:rFonts w:cs="Times New Roman"/>
                <w:szCs w:val="24"/>
              </w:rPr>
            </w:pPr>
            <w:r w:rsidRPr="0086360E">
              <w:rPr>
                <w:rFonts w:cs="Times New Roman"/>
                <w:szCs w:val="24"/>
              </w:rPr>
              <w:t>Value</w:t>
            </w:r>
          </w:p>
        </w:tc>
        <w:tc>
          <w:tcPr>
            <w:tcW w:w="1195" w:type="dxa"/>
            <w:gridSpan w:val="2"/>
            <w:tcBorders>
              <w:top w:val="single" w:sz="4" w:space="0" w:color="auto"/>
              <w:left w:val="single" w:sz="8" w:space="0" w:color="E0E0E0"/>
              <w:bottom w:val="single" w:sz="8" w:space="0" w:color="AEAEAE"/>
              <w:right w:val="single" w:sz="8" w:space="0" w:color="E0E0E0"/>
            </w:tcBorders>
            <w:shd w:val="clear" w:color="auto" w:fill="FFFFFF"/>
            <w:vAlign w:val="bottom"/>
          </w:tcPr>
          <w:p w14:paraId="7D4CF2D8" w14:textId="77777777" w:rsidR="00CC0D14" w:rsidRPr="0086360E" w:rsidRDefault="00CC0D14" w:rsidP="00814DF3">
            <w:pPr>
              <w:spacing w:line="240" w:lineRule="auto"/>
              <w:jc w:val="center"/>
              <w:rPr>
                <w:rFonts w:cs="Times New Roman"/>
                <w:szCs w:val="24"/>
              </w:rPr>
            </w:pPr>
            <w:r w:rsidRPr="0086360E">
              <w:rPr>
                <w:rFonts w:cs="Times New Roman"/>
                <w:szCs w:val="24"/>
              </w:rPr>
              <w:t>F</w:t>
            </w:r>
          </w:p>
        </w:tc>
        <w:tc>
          <w:tcPr>
            <w:tcW w:w="1459" w:type="dxa"/>
            <w:gridSpan w:val="3"/>
            <w:tcBorders>
              <w:top w:val="single" w:sz="4" w:space="0" w:color="auto"/>
              <w:left w:val="single" w:sz="8" w:space="0" w:color="E0E0E0"/>
              <w:bottom w:val="single" w:sz="8" w:space="0" w:color="AEAEAE"/>
              <w:right w:val="single" w:sz="8" w:space="0" w:color="E0E0E0"/>
            </w:tcBorders>
            <w:shd w:val="clear" w:color="auto" w:fill="FFFFFF"/>
            <w:vAlign w:val="bottom"/>
          </w:tcPr>
          <w:p w14:paraId="0C0D49CC" w14:textId="77777777" w:rsidR="00CC0D14" w:rsidRPr="0086360E" w:rsidRDefault="00CC0D14" w:rsidP="00814DF3">
            <w:pPr>
              <w:spacing w:line="240" w:lineRule="auto"/>
              <w:jc w:val="center"/>
              <w:rPr>
                <w:rFonts w:cs="Times New Roman"/>
                <w:szCs w:val="24"/>
              </w:rPr>
            </w:pPr>
            <w:r w:rsidRPr="0086360E">
              <w:rPr>
                <w:rFonts w:cs="Times New Roman"/>
                <w:szCs w:val="24"/>
              </w:rPr>
              <w:t xml:space="preserve">Hypothesis </w:t>
            </w:r>
            <w:proofErr w:type="spellStart"/>
            <w:r w:rsidRPr="0086360E">
              <w:rPr>
                <w:rFonts w:cs="Times New Roman"/>
                <w:szCs w:val="24"/>
              </w:rPr>
              <w:t>df</w:t>
            </w:r>
            <w:proofErr w:type="spellEnd"/>
          </w:p>
        </w:tc>
        <w:tc>
          <w:tcPr>
            <w:tcW w:w="1102" w:type="dxa"/>
            <w:gridSpan w:val="2"/>
            <w:tcBorders>
              <w:top w:val="single" w:sz="4" w:space="0" w:color="auto"/>
              <w:left w:val="single" w:sz="8" w:space="0" w:color="E0E0E0"/>
              <w:bottom w:val="single" w:sz="8" w:space="0" w:color="AEAEAE"/>
              <w:right w:val="single" w:sz="8" w:space="0" w:color="E0E0E0"/>
            </w:tcBorders>
            <w:shd w:val="clear" w:color="auto" w:fill="FFFFFF"/>
            <w:vAlign w:val="bottom"/>
          </w:tcPr>
          <w:p w14:paraId="74D4DE5D" w14:textId="77777777" w:rsidR="00CC0D14" w:rsidRPr="0086360E" w:rsidRDefault="00CC0D14" w:rsidP="00814DF3">
            <w:pPr>
              <w:spacing w:line="240" w:lineRule="auto"/>
              <w:jc w:val="center"/>
              <w:rPr>
                <w:rFonts w:cs="Times New Roman"/>
                <w:szCs w:val="24"/>
              </w:rPr>
            </w:pPr>
            <w:r w:rsidRPr="0086360E">
              <w:rPr>
                <w:rFonts w:cs="Times New Roman"/>
                <w:szCs w:val="24"/>
              </w:rPr>
              <w:t xml:space="preserve">Error </w:t>
            </w:r>
            <w:proofErr w:type="spellStart"/>
            <w:r w:rsidRPr="0086360E">
              <w:rPr>
                <w:rFonts w:cs="Times New Roman"/>
                <w:szCs w:val="24"/>
              </w:rPr>
              <w:t>df</w:t>
            </w:r>
            <w:proofErr w:type="spellEnd"/>
          </w:p>
        </w:tc>
        <w:tc>
          <w:tcPr>
            <w:tcW w:w="1040" w:type="dxa"/>
            <w:gridSpan w:val="3"/>
            <w:tcBorders>
              <w:top w:val="single" w:sz="4" w:space="0" w:color="auto"/>
              <w:left w:val="single" w:sz="8" w:space="0" w:color="E0E0E0"/>
              <w:bottom w:val="single" w:sz="8" w:space="0" w:color="AEAEAE"/>
              <w:right w:val="nil"/>
            </w:tcBorders>
            <w:shd w:val="clear" w:color="auto" w:fill="FFFFFF"/>
            <w:vAlign w:val="bottom"/>
          </w:tcPr>
          <w:p w14:paraId="25638C06" w14:textId="77777777" w:rsidR="00CC0D14" w:rsidRPr="0086360E" w:rsidRDefault="00CC0D14" w:rsidP="00814DF3">
            <w:pPr>
              <w:spacing w:line="240" w:lineRule="auto"/>
              <w:jc w:val="center"/>
              <w:rPr>
                <w:rFonts w:cs="Times New Roman"/>
                <w:szCs w:val="24"/>
              </w:rPr>
            </w:pPr>
            <w:r w:rsidRPr="0086360E">
              <w:rPr>
                <w:rFonts w:cs="Times New Roman"/>
                <w:szCs w:val="24"/>
              </w:rPr>
              <w:t>Sig.</w:t>
            </w:r>
          </w:p>
        </w:tc>
      </w:tr>
      <w:tr w:rsidR="00CC0D14" w:rsidRPr="0086360E" w14:paraId="685F889F" w14:textId="77777777" w:rsidTr="00814DF3">
        <w:trPr>
          <w:cantSplit/>
        </w:trPr>
        <w:tc>
          <w:tcPr>
            <w:tcW w:w="1350" w:type="dxa"/>
            <w:tcBorders>
              <w:top w:val="single" w:sz="8" w:space="0" w:color="AEAEAE"/>
              <w:left w:val="nil"/>
              <w:bottom w:val="single" w:sz="4" w:space="0" w:color="auto"/>
              <w:right w:val="nil"/>
            </w:tcBorders>
            <w:shd w:val="clear" w:color="auto" w:fill="E0E0E0"/>
            <w:vAlign w:val="center"/>
          </w:tcPr>
          <w:p w14:paraId="44F4D5CD" w14:textId="77777777" w:rsidR="00CC0D14" w:rsidRPr="0086360E" w:rsidRDefault="00CC0D14" w:rsidP="00814DF3">
            <w:pPr>
              <w:spacing w:after="240" w:line="240" w:lineRule="auto"/>
              <w:rPr>
                <w:rFonts w:cs="Times New Roman"/>
                <w:szCs w:val="24"/>
              </w:rPr>
            </w:pPr>
            <w:r w:rsidRPr="0086360E">
              <w:rPr>
                <w:rFonts w:cs="Times New Roman"/>
                <w:szCs w:val="24"/>
              </w:rPr>
              <w:t>Commitment</w:t>
            </w:r>
          </w:p>
        </w:tc>
        <w:tc>
          <w:tcPr>
            <w:tcW w:w="1585" w:type="dxa"/>
            <w:gridSpan w:val="2"/>
            <w:tcBorders>
              <w:top w:val="single" w:sz="8" w:space="0" w:color="AEAEAE"/>
              <w:left w:val="nil"/>
              <w:bottom w:val="single" w:sz="4" w:space="0" w:color="auto"/>
              <w:right w:val="nil"/>
            </w:tcBorders>
            <w:shd w:val="clear" w:color="auto" w:fill="E0E0E0"/>
            <w:vAlign w:val="center"/>
          </w:tcPr>
          <w:p w14:paraId="7FBAFA80" w14:textId="77777777" w:rsidR="00CC0D14" w:rsidRPr="0086360E" w:rsidRDefault="00CC0D14" w:rsidP="00814DF3">
            <w:pPr>
              <w:spacing w:after="240" w:line="240" w:lineRule="auto"/>
              <w:jc w:val="right"/>
              <w:rPr>
                <w:rFonts w:cs="Times New Roman"/>
                <w:szCs w:val="24"/>
              </w:rPr>
            </w:pPr>
            <w:r w:rsidRPr="0086360E">
              <w:rPr>
                <w:rFonts w:cs="Times New Roman"/>
                <w:szCs w:val="24"/>
              </w:rPr>
              <w:t>Wilks' Lambda</w:t>
            </w:r>
          </w:p>
        </w:tc>
        <w:tc>
          <w:tcPr>
            <w:tcW w:w="1040" w:type="dxa"/>
            <w:tcBorders>
              <w:top w:val="single" w:sz="8" w:space="0" w:color="AEAEAE"/>
              <w:left w:val="nil"/>
              <w:bottom w:val="single" w:sz="4" w:space="0" w:color="auto"/>
              <w:right w:val="single" w:sz="8" w:space="0" w:color="E0E0E0"/>
            </w:tcBorders>
            <w:shd w:val="clear" w:color="auto" w:fill="FFFFFF"/>
            <w:vAlign w:val="center"/>
          </w:tcPr>
          <w:p w14:paraId="43290952" w14:textId="77777777" w:rsidR="00CC0D14" w:rsidRPr="0086360E" w:rsidRDefault="00CC0D14" w:rsidP="00814DF3">
            <w:pPr>
              <w:spacing w:after="240" w:line="240" w:lineRule="auto"/>
              <w:jc w:val="right"/>
              <w:rPr>
                <w:rFonts w:cs="Times New Roman"/>
                <w:szCs w:val="24"/>
              </w:rPr>
            </w:pPr>
            <w:r w:rsidRPr="0086360E">
              <w:rPr>
                <w:rFonts w:cs="Times New Roman"/>
                <w:szCs w:val="24"/>
              </w:rPr>
              <w:t>.261</w:t>
            </w:r>
          </w:p>
        </w:tc>
        <w:tc>
          <w:tcPr>
            <w:tcW w:w="1195"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18575C58" w14:textId="77777777" w:rsidR="00CC0D14" w:rsidRPr="0086360E" w:rsidRDefault="00CC0D14" w:rsidP="00814DF3">
            <w:pPr>
              <w:spacing w:after="240" w:line="240" w:lineRule="auto"/>
              <w:jc w:val="right"/>
              <w:rPr>
                <w:rFonts w:cs="Times New Roman"/>
                <w:szCs w:val="24"/>
              </w:rPr>
            </w:pPr>
            <w:r w:rsidRPr="0086360E">
              <w:rPr>
                <w:rFonts w:cs="Times New Roman"/>
                <w:szCs w:val="24"/>
              </w:rPr>
              <w:t>2512.852</w:t>
            </w:r>
            <w:r w:rsidRPr="0086360E">
              <w:rPr>
                <w:rFonts w:cs="Times New Roman"/>
                <w:szCs w:val="24"/>
                <w:vertAlign w:val="superscript"/>
              </w:rPr>
              <w:t>b</w:t>
            </w:r>
          </w:p>
        </w:tc>
        <w:tc>
          <w:tcPr>
            <w:tcW w:w="1459" w:type="dxa"/>
            <w:gridSpan w:val="3"/>
            <w:tcBorders>
              <w:top w:val="single" w:sz="8" w:space="0" w:color="AEAEAE"/>
              <w:left w:val="single" w:sz="8" w:space="0" w:color="E0E0E0"/>
              <w:bottom w:val="single" w:sz="4" w:space="0" w:color="auto"/>
              <w:right w:val="single" w:sz="8" w:space="0" w:color="E0E0E0"/>
            </w:tcBorders>
            <w:shd w:val="clear" w:color="auto" w:fill="FFFFFF"/>
            <w:vAlign w:val="center"/>
          </w:tcPr>
          <w:p w14:paraId="6A7E4F5E" w14:textId="77777777" w:rsidR="00CC0D14" w:rsidRPr="0086360E" w:rsidRDefault="00CC0D14" w:rsidP="00814DF3">
            <w:pPr>
              <w:spacing w:after="240" w:line="240" w:lineRule="auto"/>
              <w:jc w:val="right"/>
              <w:rPr>
                <w:rFonts w:cs="Times New Roman"/>
                <w:szCs w:val="24"/>
              </w:rPr>
            </w:pPr>
            <w:r w:rsidRPr="0086360E">
              <w:rPr>
                <w:rFonts w:cs="Times New Roman"/>
                <w:szCs w:val="24"/>
              </w:rPr>
              <w:t>3.000</w:t>
            </w:r>
          </w:p>
        </w:tc>
        <w:tc>
          <w:tcPr>
            <w:tcW w:w="1102"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0AB7BA38" w14:textId="77777777" w:rsidR="00CC0D14" w:rsidRPr="0086360E" w:rsidRDefault="00CC0D14" w:rsidP="00814DF3">
            <w:pPr>
              <w:spacing w:after="240" w:line="240" w:lineRule="auto"/>
              <w:jc w:val="right"/>
              <w:rPr>
                <w:rFonts w:cs="Times New Roman"/>
                <w:szCs w:val="24"/>
              </w:rPr>
            </w:pPr>
            <w:r w:rsidRPr="0086360E">
              <w:rPr>
                <w:rFonts w:cs="Times New Roman"/>
                <w:szCs w:val="24"/>
              </w:rPr>
              <w:t>392.935</w:t>
            </w:r>
          </w:p>
        </w:tc>
        <w:tc>
          <w:tcPr>
            <w:tcW w:w="1040" w:type="dxa"/>
            <w:gridSpan w:val="3"/>
            <w:tcBorders>
              <w:top w:val="single" w:sz="8" w:space="0" w:color="AEAEAE"/>
              <w:left w:val="single" w:sz="8" w:space="0" w:color="E0E0E0"/>
              <w:bottom w:val="single" w:sz="4" w:space="0" w:color="auto"/>
              <w:right w:val="nil"/>
            </w:tcBorders>
            <w:shd w:val="clear" w:color="auto" w:fill="FFFFFF"/>
            <w:vAlign w:val="center"/>
          </w:tcPr>
          <w:p w14:paraId="456FAD7E" w14:textId="77777777" w:rsidR="00CC0D14" w:rsidRPr="0086360E" w:rsidRDefault="00CC0D14" w:rsidP="00814DF3">
            <w:pPr>
              <w:spacing w:after="240" w:line="240" w:lineRule="auto"/>
              <w:jc w:val="right"/>
              <w:rPr>
                <w:rFonts w:cs="Times New Roman"/>
                <w:szCs w:val="24"/>
              </w:rPr>
            </w:pPr>
            <w:r w:rsidRPr="0086360E">
              <w:rPr>
                <w:rFonts w:cs="Times New Roman"/>
                <w:szCs w:val="24"/>
              </w:rPr>
              <w:t>.000</w:t>
            </w:r>
          </w:p>
        </w:tc>
      </w:tr>
      <w:tr w:rsidR="00CC0D14" w:rsidRPr="0086360E" w14:paraId="5FB8F6A3" w14:textId="77777777" w:rsidTr="00814DF3">
        <w:trPr>
          <w:gridAfter w:val="1"/>
          <w:wAfter w:w="41" w:type="dxa"/>
          <w:cantSplit/>
        </w:trPr>
        <w:tc>
          <w:tcPr>
            <w:tcW w:w="8730" w:type="dxa"/>
            <w:gridSpan w:val="13"/>
            <w:tcBorders>
              <w:top w:val="nil"/>
              <w:left w:val="nil"/>
              <w:bottom w:val="nil"/>
              <w:right w:val="nil"/>
            </w:tcBorders>
            <w:shd w:val="clear" w:color="auto" w:fill="FFFFFF"/>
            <w:vAlign w:val="center"/>
          </w:tcPr>
          <w:p w14:paraId="34093166" w14:textId="77777777" w:rsidR="00CC0D14" w:rsidRPr="0086360E" w:rsidRDefault="00CC0D14" w:rsidP="00814DF3">
            <w:pPr>
              <w:spacing w:line="240" w:lineRule="auto"/>
              <w:jc w:val="center"/>
              <w:rPr>
                <w:rFonts w:cs="Times New Roman"/>
                <w:b/>
                <w:bCs/>
                <w:szCs w:val="24"/>
              </w:rPr>
            </w:pPr>
            <w:r w:rsidRPr="0086360E">
              <w:rPr>
                <w:rFonts w:cs="Times New Roman"/>
                <w:b/>
                <w:bCs/>
                <w:szCs w:val="24"/>
              </w:rPr>
              <w:t>Tests of Between-Subjects Effects- Hypothesis One</w:t>
            </w:r>
          </w:p>
        </w:tc>
      </w:tr>
      <w:tr w:rsidR="00CC0D14" w:rsidRPr="0086360E" w14:paraId="5E0B851E" w14:textId="77777777" w:rsidTr="00814DF3">
        <w:trPr>
          <w:gridAfter w:val="1"/>
          <w:wAfter w:w="41" w:type="dxa"/>
          <w:cantSplit/>
        </w:trPr>
        <w:tc>
          <w:tcPr>
            <w:tcW w:w="1530" w:type="dxa"/>
            <w:gridSpan w:val="2"/>
            <w:tcBorders>
              <w:top w:val="single" w:sz="4" w:space="0" w:color="auto"/>
              <w:left w:val="nil"/>
              <w:bottom w:val="single" w:sz="8" w:space="0" w:color="152935"/>
              <w:right w:val="nil"/>
            </w:tcBorders>
            <w:shd w:val="clear" w:color="auto" w:fill="FFFFFF"/>
            <w:vAlign w:val="center"/>
          </w:tcPr>
          <w:p w14:paraId="55DAAA39" w14:textId="77777777" w:rsidR="00CC0D14" w:rsidRPr="0086360E" w:rsidRDefault="00CC0D14" w:rsidP="00814DF3">
            <w:pPr>
              <w:spacing w:line="240" w:lineRule="auto"/>
              <w:jc w:val="center"/>
              <w:rPr>
                <w:rFonts w:cs="Times New Roman"/>
                <w:szCs w:val="24"/>
              </w:rPr>
            </w:pPr>
            <w:r w:rsidRPr="0086360E">
              <w:rPr>
                <w:rFonts w:cs="Times New Roman"/>
                <w:szCs w:val="24"/>
              </w:rPr>
              <w:t>Source</w:t>
            </w:r>
          </w:p>
        </w:tc>
        <w:tc>
          <w:tcPr>
            <w:tcW w:w="2610" w:type="dxa"/>
            <w:gridSpan w:val="3"/>
            <w:tcBorders>
              <w:top w:val="single" w:sz="4" w:space="0" w:color="auto"/>
              <w:left w:val="nil"/>
              <w:bottom w:val="single" w:sz="8" w:space="0" w:color="152935"/>
              <w:right w:val="nil"/>
            </w:tcBorders>
            <w:shd w:val="clear" w:color="auto" w:fill="FFFFFF"/>
            <w:vAlign w:val="center"/>
          </w:tcPr>
          <w:p w14:paraId="40C132D6" w14:textId="77777777" w:rsidR="00CC0D14" w:rsidRPr="0086360E" w:rsidRDefault="00CC0D14" w:rsidP="00814DF3">
            <w:pPr>
              <w:spacing w:line="240" w:lineRule="auto"/>
              <w:jc w:val="center"/>
              <w:rPr>
                <w:rFonts w:cs="Times New Roman"/>
                <w:szCs w:val="24"/>
              </w:rPr>
            </w:pPr>
            <w:r w:rsidRPr="0086360E">
              <w:rPr>
                <w:rFonts w:cs="Times New Roman"/>
                <w:szCs w:val="24"/>
              </w:rPr>
              <w:t>Dependent Variable</w:t>
            </w:r>
          </w:p>
        </w:tc>
        <w:tc>
          <w:tcPr>
            <w:tcW w:w="1350" w:type="dxa"/>
            <w:gridSpan w:val="2"/>
            <w:tcBorders>
              <w:top w:val="single" w:sz="4" w:space="0" w:color="auto"/>
              <w:left w:val="nil"/>
              <w:bottom w:val="single" w:sz="8" w:space="0" w:color="152935"/>
              <w:right w:val="single" w:sz="8" w:space="0" w:color="E0E0E0"/>
            </w:tcBorders>
            <w:shd w:val="clear" w:color="auto" w:fill="FFFFFF"/>
            <w:vAlign w:val="center"/>
          </w:tcPr>
          <w:p w14:paraId="4EC80552" w14:textId="77777777" w:rsidR="00CC0D14" w:rsidRPr="0086360E" w:rsidRDefault="00CC0D14" w:rsidP="00814DF3">
            <w:pPr>
              <w:spacing w:line="240" w:lineRule="auto"/>
              <w:jc w:val="center"/>
              <w:rPr>
                <w:rFonts w:cs="Times New Roman"/>
                <w:szCs w:val="24"/>
              </w:rPr>
            </w:pPr>
            <w:r w:rsidRPr="0086360E">
              <w:rPr>
                <w:rFonts w:cs="Times New Roman"/>
                <w:szCs w:val="24"/>
              </w:rPr>
              <w:t>Type III Sum of Squares</w:t>
            </w:r>
          </w:p>
        </w:tc>
        <w:tc>
          <w:tcPr>
            <w:tcW w:w="630" w:type="dxa"/>
            <w:tcBorders>
              <w:top w:val="single" w:sz="4" w:space="0" w:color="auto"/>
              <w:left w:val="single" w:sz="8" w:space="0" w:color="E0E0E0"/>
              <w:bottom w:val="single" w:sz="8" w:space="0" w:color="152935"/>
              <w:right w:val="single" w:sz="8" w:space="0" w:color="E0E0E0"/>
            </w:tcBorders>
            <w:shd w:val="clear" w:color="auto" w:fill="FFFFFF"/>
            <w:vAlign w:val="center"/>
          </w:tcPr>
          <w:p w14:paraId="6A8102DD" w14:textId="77777777" w:rsidR="00CC0D14" w:rsidRPr="0086360E" w:rsidRDefault="00CC0D14" w:rsidP="00814DF3">
            <w:pPr>
              <w:spacing w:line="240" w:lineRule="auto"/>
              <w:jc w:val="center"/>
              <w:rPr>
                <w:rFonts w:cs="Times New Roman"/>
                <w:szCs w:val="24"/>
              </w:rPr>
            </w:pPr>
            <w:proofErr w:type="spellStart"/>
            <w:r w:rsidRPr="0086360E">
              <w:rPr>
                <w:rFonts w:cs="Times New Roman"/>
                <w:szCs w:val="24"/>
              </w:rPr>
              <w:t>df</w:t>
            </w:r>
            <w:proofErr w:type="spellEnd"/>
          </w:p>
        </w:tc>
        <w:tc>
          <w:tcPr>
            <w:tcW w:w="990" w:type="dxa"/>
            <w:gridSpan w:val="2"/>
            <w:tcBorders>
              <w:top w:val="single" w:sz="4" w:space="0" w:color="auto"/>
              <w:left w:val="single" w:sz="8" w:space="0" w:color="E0E0E0"/>
              <w:bottom w:val="single" w:sz="8" w:space="0" w:color="152935"/>
              <w:right w:val="single" w:sz="8" w:space="0" w:color="E0E0E0"/>
            </w:tcBorders>
            <w:shd w:val="clear" w:color="auto" w:fill="FFFFFF"/>
            <w:vAlign w:val="center"/>
          </w:tcPr>
          <w:p w14:paraId="7257BD96" w14:textId="77777777" w:rsidR="00CC0D14" w:rsidRPr="0086360E" w:rsidRDefault="00CC0D14" w:rsidP="00814DF3">
            <w:pPr>
              <w:spacing w:line="240" w:lineRule="auto"/>
              <w:jc w:val="center"/>
              <w:rPr>
                <w:rFonts w:cs="Times New Roman"/>
                <w:szCs w:val="24"/>
              </w:rPr>
            </w:pPr>
            <w:r w:rsidRPr="0086360E">
              <w:rPr>
                <w:rFonts w:cs="Times New Roman"/>
                <w:szCs w:val="24"/>
              </w:rPr>
              <w:t>Mean Square</w:t>
            </w:r>
          </w:p>
        </w:tc>
        <w:tc>
          <w:tcPr>
            <w:tcW w:w="900" w:type="dxa"/>
            <w:gridSpan w:val="2"/>
            <w:tcBorders>
              <w:top w:val="single" w:sz="4" w:space="0" w:color="auto"/>
              <w:left w:val="single" w:sz="8" w:space="0" w:color="E0E0E0"/>
              <w:bottom w:val="single" w:sz="8" w:space="0" w:color="152935"/>
              <w:right w:val="single" w:sz="8" w:space="0" w:color="E0E0E0"/>
            </w:tcBorders>
            <w:shd w:val="clear" w:color="auto" w:fill="FFFFFF"/>
            <w:vAlign w:val="center"/>
          </w:tcPr>
          <w:p w14:paraId="2B111383" w14:textId="77777777" w:rsidR="00CC0D14" w:rsidRPr="0086360E" w:rsidRDefault="00CC0D14" w:rsidP="00814DF3">
            <w:pPr>
              <w:spacing w:line="240" w:lineRule="auto"/>
              <w:jc w:val="center"/>
              <w:rPr>
                <w:rFonts w:cs="Times New Roman"/>
                <w:szCs w:val="24"/>
              </w:rPr>
            </w:pPr>
            <w:r w:rsidRPr="0086360E">
              <w:rPr>
                <w:rFonts w:cs="Times New Roman"/>
                <w:szCs w:val="24"/>
              </w:rPr>
              <w:t>F</w:t>
            </w:r>
          </w:p>
        </w:tc>
        <w:tc>
          <w:tcPr>
            <w:tcW w:w="720" w:type="dxa"/>
            <w:tcBorders>
              <w:top w:val="single" w:sz="4" w:space="0" w:color="auto"/>
              <w:left w:val="single" w:sz="8" w:space="0" w:color="E0E0E0"/>
              <w:bottom w:val="single" w:sz="8" w:space="0" w:color="152935"/>
              <w:right w:val="nil"/>
            </w:tcBorders>
            <w:shd w:val="clear" w:color="auto" w:fill="FFFFFF"/>
            <w:vAlign w:val="center"/>
          </w:tcPr>
          <w:p w14:paraId="49265158" w14:textId="77777777" w:rsidR="00CC0D14" w:rsidRPr="0086360E" w:rsidRDefault="00CC0D14" w:rsidP="00814DF3">
            <w:pPr>
              <w:spacing w:line="240" w:lineRule="auto"/>
              <w:jc w:val="center"/>
              <w:rPr>
                <w:rFonts w:cs="Times New Roman"/>
                <w:szCs w:val="24"/>
              </w:rPr>
            </w:pPr>
            <w:r w:rsidRPr="0086360E">
              <w:rPr>
                <w:rFonts w:cs="Times New Roman"/>
                <w:szCs w:val="24"/>
              </w:rPr>
              <w:t>Sig.</w:t>
            </w:r>
          </w:p>
        </w:tc>
      </w:tr>
      <w:tr w:rsidR="00CC0D14" w:rsidRPr="0086360E" w14:paraId="4BC597FE" w14:textId="77777777" w:rsidTr="00814DF3">
        <w:trPr>
          <w:gridAfter w:val="1"/>
          <w:wAfter w:w="41" w:type="dxa"/>
          <w:cantSplit/>
        </w:trPr>
        <w:tc>
          <w:tcPr>
            <w:tcW w:w="1530" w:type="dxa"/>
            <w:gridSpan w:val="2"/>
            <w:vMerge w:val="restart"/>
            <w:tcBorders>
              <w:top w:val="single" w:sz="8" w:space="0" w:color="152935"/>
              <w:left w:val="nil"/>
              <w:bottom w:val="single" w:sz="4" w:space="0" w:color="auto"/>
              <w:right w:val="nil"/>
            </w:tcBorders>
            <w:shd w:val="clear" w:color="auto" w:fill="E0E0E0"/>
            <w:vAlign w:val="center"/>
          </w:tcPr>
          <w:p w14:paraId="7AFEBC2B" w14:textId="77777777" w:rsidR="00CC0D14" w:rsidRPr="0086360E" w:rsidRDefault="00CC0D14" w:rsidP="00814DF3">
            <w:pPr>
              <w:spacing w:after="240" w:line="240" w:lineRule="auto"/>
              <w:rPr>
                <w:rFonts w:cs="Times New Roman"/>
                <w:szCs w:val="24"/>
              </w:rPr>
            </w:pPr>
            <w:r w:rsidRPr="0086360E">
              <w:rPr>
                <w:rFonts w:cs="Times New Roman"/>
                <w:szCs w:val="24"/>
              </w:rPr>
              <w:t>Commitment</w:t>
            </w:r>
          </w:p>
        </w:tc>
        <w:tc>
          <w:tcPr>
            <w:tcW w:w="2610" w:type="dxa"/>
            <w:gridSpan w:val="3"/>
            <w:tcBorders>
              <w:top w:val="single" w:sz="8" w:space="0" w:color="AEAEAE"/>
              <w:left w:val="nil"/>
              <w:bottom w:val="single" w:sz="8" w:space="0" w:color="AEAEAE"/>
              <w:right w:val="nil"/>
            </w:tcBorders>
            <w:shd w:val="clear" w:color="auto" w:fill="E0E0E0"/>
            <w:vAlign w:val="center"/>
          </w:tcPr>
          <w:p w14:paraId="1985A985" w14:textId="77777777" w:rsidR="00CC0D14" w:rsidRPr="0086360E" w:rsidRDefault="00CC0D14" w:rsidP="00814DF3">
            <w:pPr>
              <w:spacing w:after="240" w:line="240" w:lineRule="auto"/>
              <w:rPr>
                <w:rFonts w:cs="Times New Roman"/>
                <w:szCs w:val="24"/>
              </w:rPr>
            </w:pPr>
            <w:r w:rsidRPr="0086360E">
              <w:rPr>
                <w:rFonts w:cs="Times New Roman"/>
                <w:szCs w:val="24"/>
              </w:rPr>
              <w:t>Customer Satisfaction</w:t>
            </w:r>
          </w:p>
        </w:tc>
        <w:tc>
          <w:tcPr>
            <w:tcW w:w="1350" w:type="dxa"/>
            <w:gridSpan w:val="2"/>
            <w:tcBorders>
              <w:top w:val="single" w:sz="8" w:space="0" w:color="AEAEAE"/>
              <w:left w:val="nil"/>
              <w:bottom w:val="single" w:sz="8" w:space="0" w:color="AEAEAE"/>
              <w:right w:val="single" w:sz="8" w:space="0" w:color="E0E0E0"/>
            </w:tcBorders>
            <w:shd w:val="clear" w:color="auto" w:fill="FFFFFF"/>
            <w:vAlign w:val="center"/>
          </w:tcPr>
          <w:p w14:paraId="37C51C5F" w14:textId="77777777" w:rsidR="00CC0D14" w:rsidRPr="0086360E" w:rsidRDefault="00CC0D14" w:rsidP="00814DF3">
            <w:pPr>
              <w:spacing w:after="240" w:line="240" w:lineRule="auto"/>
              <w:jc w:val="right"/>
              <w:rPr>
                <w:rFonts w:cs="Times New Roman"/>
                <w:szCs w:val="24"/>
              </w:rPr>
            </w:pPr>
            <w:r w:rsidRPr="0086360E">
              <w:rPr>
                <w:rFonts w:cs="Times New Roman"/>
                <w:szCs w:val="24"/>
              </w:rPr>
              <w:t>68.991</w:t>
            </w:r>
            <w:r w:rsidRPr="0086360E">
              <w:rPr>
                <w:rFonts w:cs="Times New Roman"/>
                <w:szCs w:val="24"/>
                <w:vertAlign w:val="superscript"/>
              </w:rPr>
              <w:t>a</w:t>
            </w:r>
          </w:p>
        </w:tc>
        <w:tc>
          <w:tcPr>
            <w:tcW w:w="6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DE462D" w14:textId="77777777" w:rsidR="00CC0D14" w:rsidRPr="0086360E" w:rsidRDefault="00CC0D14" w:rsidP="00814DF3">
            <w:pPr>
              <w:spacing w:after="240" w:line="240" w:lineRule="auto"/>
              <w:jc w:val="right"/>
              <w:rPr>
                <w:rFonts w:cs="Times New Roman"/>
                <w:szCs w:val="24"/>
              </w:rPr>
            </w:pPr>
            <w:r w:rsidRPr="0086360E">
              <w:rPr>
                <w:rFonts w:cs="Times New Roman"/>
                <w:szCs w:val="24"/>
              </w:rPr>
              <w:t>12</w:t>
            </w:r>
          </w:p>
        </w:tc>
        <w:tc>
          <w:tcPr>
            <w:tcW w:w="990" w:type="dxa"/>
            <w:gridSpan w:val="2"/>
            <w:tcBorders>
              <w:top w:val="single" w:sz="8" w:space="0" w:color="AEAEAE"/>
              <w:left w:val="single" w:sz="8" w:space="0" w:color="E0E0E0"/>
              <w:bottom w:val="single" w:sz="8" w:space="0" w:color="AEAEAE"/>
              <w:right w:val="single" w:sz="8" w:space="0" w:color="E0E0E0"/>
            </w:tcBorders>
            <w:shd w:val="clear" w:color="auto" w:fill="FFFFFF"/>
          </w:tcPr>
          <w:p w14:paraId="2D36E1C6" w14:textId="77777777" w:rsidR="00CC0D14" w:rsidRPr="0086360E" w:rsidRDefault="00CC0D14" w:rsidP="00814DF3">
            <w:pPr>
              <w:spacing w:after="240" w:line="240" w:lineRule="auto"/>
              <w:jc w:val="right"/>
              <w:rPr>
                <w:rFonts w:cs="Times New Roman"/>
                <w:szCs w:val="24"/>
              </w:rPr>
            </w:pPr>
            <w:r w:rsidRPr="0086360E">
              <w:rPr>
                <w:rFonts w:cs="Times New Roman"/>
                <w:szCs w:val="24"/>
              </w:rPr>
              <w:t>2.802</w:t>
            </w:r>
          </w:p>
        </w:tc>
        <w:tc>
          <w:tcPr>
            <w:tcW w:w="900" w:type="dxa"/>
            <w:gridSpan w:val="2"/>
            <w:tcBorders>
              <w:top w:val="single" w:sz="8" w:space="0" w:color="AEAEAE"/>
              <w:left w:val="single" w:sz="8" w:space="0" w:color="E0E0E0"/>
              <w:bottom w:val="single" w:sz="8" w:space="0" w:color="AEAEAE"/>
              <w:right w:val="single" w:sz="8" w:space="0" w:color="E0E0E0"/>
            </w:tcBorders>
            <w:shd w:val="clear" w:color="auto" w:fill="FFFFFF"/>
          </w:tcPr>
          <w:p w14:paraId="2D802FF7" w14:textId="77777777" w:rsidR="00CC0D14" w:rsidRPr="0086360E" w:rsidRDefault="00CC0D14" w:rsidP="00814DF3">
            <w:pPr>
              <w:spacing w:after="240" w:line="240" w:lineRule="auto"/>
              <w:jc w:val="right"/>
              <w:rPr>
                <w:rFonts w:cs="Times New Roman"/>
                <w:szCs w:val="24"/>
              </w:rPr>
            </w:pPr>
            <w:r w:rsidRPr="0086360E">
              <w:rPr>
                <w:rFonts w:cs="Times New Roman"/>
                <w:szCs w:val="24"/>
              </w:rPr>
              <w:t>252.497</w:t>
            </w:r>
          </w:p>
        </w:tc>
        <w:tc>
          <w:tcPr>
            <w:tcW w:w="720" w:type="dxa"/>
            <w:tcBorders>
              <w:top w:val="single" w:sz="8" w:space="0" w:color="AEAEAE"/>
              <w:left w:val="single" w:sz="8" w:space="0" w:color="E0E0E0"/>
              <w:bottom w:val="single" w:sz="8" w:space="0" w:color="AEAEAE"/>
              <w:right w:val="nil"/>
            </w:tcBorders>
            <w:shd w:val="clear" w:color="auto" w:fill="FFFFFF"/>
          </w:tcPr>
          <w:p w14:paraId="29BCD1B3" w14:textId="77777777" w:rsidR="00CC0D14" w:rsidRPr="0086360E" w:rsidRDefault="00CC0D14" w:rsidP="00814DF3">
            <w:pPr>
              <w:spacing w:after="240" w:line="240" w:lineRule="auto"/>
              <w:jc w:val="right"/>
              <w:rPr>
                <w:rFonts w:cs="Times New Roman"/>
                <w:szCs w:val="24"/>
              </w:rPr>
            </w:pPr>
            <w:r w:rsidRPr="0086360E">
              <w:rPr>
                <w:rFonts w:cs="Times New Roman"/>
                <w:szCs w:val="24"/>
              </w:rPr>
              <w:t>.000</w:t>
            </w:r>
          </w:p>
        </w:tc>
      </w:tr>
      <w:tr w:rsidR="00CC0D14" w:rsidRPr="0086360E" w14:paraId="4E3F73B6" w14:textId="77777777" w:rsidTr="00814DF3">
        <w:trPr>
          <w:gridAfter w:val="1"/>
          <w:wAfter w:w="41" w:type="dxa"/>
          <w:cantSplit/>
        </w:trPr>
        <w:tc>
          <w:tcPr>
            <w:tcW w:w="1530" w:type="dxa"/>
            <w:gridSpan w:val="2"/>
            <w:vMerge/>
            <w:tcBorders>
              <w:top w:val="single" w:sz="8" w:space="0" w:color="AEAEAE"/>
              <w:left w:val="nil"/>
              <w:bottom w:val="single" w:sz="4" w:space="0" w:color="auto"/>
              <w:right w:val="nil"/>
            </w:tcBorders>
            <w:shd w:val="clear" w:color="auto" w:fill="E0E0E0"/>
            <w:vAlign w:val="center"/>
          </w:tcPr>
          <w:p w14:paraId="7664CE8D" w14:textId="77777777" w:rsidR="00CC0D14" w:rsidRPr="0086360E" w:rsidRDefault="00CC0D14" w:rsidP="00814DF3">
            <w:pPr>
              <w:spacing w:after="240" w:line="240" w:lineRule="auto"/>
              <w:jc w:val="right"/>
              <w:rPr>
                <w:rFonts w:cs="Times New Roman"/>
                <w:szCs w:val="24"/>
              </w:rPr>
            </w:pPr>
          </w:p>
        </w:tc>
        <w:tc>
          <w:tcPr>
            <w:tcW w:w="2610" w:type="dxa"/>
            <w:gridSpan w:val="3"/>
            <w:tcBorders>
              <w:top w:val="single" w:sz="8" w:space="0" w:color="AEAEAE"/>
              <w:left w:val="nil"/>
              <w:bottom w:val="single" w:sz="8" w:space="0" w:color="AEAEAE"/>
              <w:right w:val="nil"/>
            </w:tcBorders>
            <w:shd w:val="clear" w:color="auto" w:fill="E0E0E0"/>
            <w:vAlign w:val="center"/>
          </w:tcPr>
          <w:p w14:paraId="1454EAEA" w14:textId="77777777" w:rsidR="00CC0D14" w:rsidRPr="0086360E" w:rsidRDefault="00CC0D14" w:rsidP="00814DF3">
            <w:pPr>
              <w:spacing w:after="240" w:line="240" w:lineRule="auto"/>
              <w:rPr>
                <w:rFonts w:cs="Times New Roman"/>
                <w:szCs w:val="24"/>
              </w:rPr>
            </w:pPr>
            <w:r w:rsidRPr="0086360E">
              <w:rPr>
                <w:rFonts w:cs="Times New Roman"/>
                <w:szCs w:val="24"/>
              </w:rPr>
              <w:t>Market Competitiveness</w:t>
            </w:r>
          </w:p>
        </w:tc>
        <w:tc>
          <w:tcPr>
            <w:tcW w:w="1350" w:type="dxa"/>
            <w:gridSpan w:val="2"/>
            <w:tcBorders>
              <w:top w:val="single" w:sz="8" w:space="0" w:color="AEAEAE"/>
              <w:left w:val="nil"/>
              <w:bottom w:val="single" w:sz="8" w:space="0" w:color="AEAEAE"/>
              <w:right w:val="single" w:sz="8" w:space="0" w:color="E0E0E0"/>
            </w:tcBorders>
            <w:shd w:val="clear" w:color="auto" w:fill="FFFFFF"/>
            <w:vAlign w:val="center"/>
          </w:tcPr>
          <w:p w14:paraId="18C4D7DF" w14:textId="77777777" w:rsidR="00CC0D14" w:rsidRPr="0086360E" w:rsidRDefault="00CC0D14" w:rsidP="00814DF3">
            <w:pPr>
              <w:spacing w:after="240" w:line="240" w:lineRule="auto"/>
              <w:jc w:val="right"/>
              <w:rPr>
                <w:rFonts w:cs="Times New Roman"/>
                <w:szCs w:val="24"/>
              </w:rPr>
            </w:pPr>
            <w:r w:rsidRPr="0086360E">
              <w:rPr>
                <w:rFonts w:cs="Times New Roman"/>
                <w:szCs w:val="24"/>
              </w:rPr>
              <w:t>58.727</w:t>
            </w:r>
            <w:r w:rsidRPr="0086360E">
              <w:rPr>
                <w:rFonts w:cs="Times New Roman"/>
                <w:szCs w:val="24"/>
                <w:vertAlign w:val="superscript"/>
              </w:rPr>
              <w:t>b</w:t>
            </w:r>
          </w:p>
        </w:tc>
        <w:tc>
          <w:tcPr>
            <w:tcW w:w="6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29A36B7" w14:textId="77777777" w:rsidR="00CC0D14" w:rsidRPr="0086360E" w:rsidRDefault="00CC0D14" w:rsidP="00814DF3">
            <w:pPr>
              <w:spacing w:after="240" w:line="240" w:lineRule="auto"/>
              <w:jc w:val="right"/>
              <w:rPr>
                <w:rFonts w:cs="Times New Roman"/>
                <w:szCs w:val="24"/>
              </w:rPr>
            </w:pPr>
            <w:r w:rsidRPr="0086360E">
              <w:rPr>
                <w:rFonts w:cs="Times New Roman"/>
                <w:szCs w:val="24"/>
              </w:rPr>
              <w:t>12</w:t>
            </w:r>
          </w:p>
        </w:tc>
        <w:tc>
          <w:tcPr>
            <w:tcW w:w="990" w:type="dxa"/>
            <w:gridSpan w:val="2"/>
            <w:tcBorders>
              <w:top w:val="single" w:sz="8" w:space="0" w:color="AEAEAE"/>
              <w:left w:val="single" w:sz="8" w:space="0" w:color="E0E0E0"/>
              <w:bottom w:val="single" w:sz="8" w:space="0" w:color="AEAEAE"/>
              <w:right w:val="single" w:sz="8" w:space="0" w:color="E0E0E0"/>
            </w:tcBorders>
            <w:shd w:val="clear" w:color="auto" w:fill="FFFFFF"/>
          </w:tcPr>
          <w:p w14:paraId="0131E6DF" w14:textId="77777777" w:rsidR="00CC0D14" w:rsidRPr="0086360E" w:rsidRDefault="00CC0D14" w:rsidP="00814DF3">
            <w:pPr>
              <w:spacing w:after="240" w:line="240" w:lineRule="auto"/>
              <w:jc w:val="right"/>
              <w:rPr>
                <w:rFonts w:cs="Times New Roman"/>
                <w:szCs w:val="24"/>
              </w:rPr>
            </w:pPr>
            <w:r w:rsidRPr="0086360E">
              <w:rPr>
                <w:rFonts w:cs="Times New Roman"/>
                <w:szCs w:val="24"/>
              </w:rPr>
              <w:t>6.043</w:t>
            </w:r>
          </w:p>
        </w:tc>
        <w:tc>
          <w:tcPr>
            <w:tcW w:w="900" w:type="dxa"/>
            <w:gridSpan w:val="2"/>
            <w:tcBorders>
              <w:top w:val="single" w:sz="8" w:space="0" w:color="AEAEAE"/>
              <w:left w:val="single" w:sz="8" w:space="0" w:color="E0E0E0"/>
              <w:bottom w:val="single" w:sz="8" w:space="0" w:color="AEAEAE"/>
              <w:right w:val="single" w:sz="8" w:space="0" w:color="E0E0E0"/>
            </w:tcBorders>
            <w:shd w:val="clear" w:color="auto" w:fill="FFFFFF"/>
          </w:tcPr>
          <w:p w14:paraId="7272AB10" w14:textId="77777777" w:rsidR="00CC0D14" w:rsidRPr="0086360E" w:rsidRDefault="00CC0D14" w:rsidP="00814DF3">
            <w:pPr>
              <w:spacing w:after="240" w:line="240" w:lineRule="auto"/>
              <w:jc w:val="right"/>
              <w:rPr>
                <w:rFonts w:cs="Times New Roman"/>
                <w:szCs w:val="24"/>
              </w:rPr>
            </w:pPr>
            <w:r w:rsidRPr="0086360E">
              <w:rPr>
                <w:rFonts w:cs="Times New Roman"/>
                <w:szCs w:val="24"/>
              </w:rPr>
              <w:t>432.834</w:t>
            </w:r>
          </w:p>
        </w:tc>
        <w:tc>
          <w:tcPr>
            <w:tcW w:w="720" w:type="dxa"/>
            <w:tcBorders>
              <w:top w:val="single" w:sz="8" w:space="0" w:color="AEAEAE"/>
              <w:left w:val="single" w:sz="8" w:space="0" w:color="E0E0E0"/>
              <w:bottom w:val="single" w:sz="8" w:space="0" w:color="AEAEAE"/>
              <w:right w:val="nil"/>
            </w:tcBorders>
            <w:shd w:val="clear" w:color="auto" w:fill="FFFFFF"/>
          </w:tcPr>
          <w:p w14:paraId="34196B8B" w14:textId="77777777" w:rsidR="00CC0D14" w:rsidRPr="0086360E" w:rsidRDefault="00CC0D14" w:rsidP="00814DF3">
            <w:pPr>
              <w:spacing w:after="240" w:line="240" w:lineRule="auto"/>
              <w:jc w:val="right"/>
              <w:rPr>
                <w:rFonts w:cs="Times New Roman"/>
                <w:szCs w:val="24"/>
              </w:rPr>
            </w:pPr>
            <w:r w:rsidRPr="0086360E">
              <w:rPr>
                <w:rFonts w:cs="Times New Roman"/>
                <w:szCs w:val="24"/>
              </w:rPr>
              <w:t>.000</w:t>
            </w:r>
          </w:p>
        </w:tc>
      </w:tr>
      <w:tr w:rsidR="00CC0D14" w:rsidRPr="0086360E" w14:paraId="05B0A27F" w14:textId="77777777" w:rsidTr="00814DF3">
        <w:trPr>
          <w:gridAfter w:val="1"/>
          <w:wAfter w:w="41" w:type="dxa"/>
          <w:cantSplit/>
        </w:trPr>
        <w:tc>
          <w:tcPr>
            <w:tcW w:w="1530" w:type="dxa"/>
            <w:gridSpan w:val="2"/>
            <w:vMerge/>
            <w:tcBorders>
              <w:top w:val="single" w:sz="8" w:space="0" w:color="AEAEAE"/>
              <w:left w:val="nil"/>
              <w:bottom w:val="nil"/>
              <w:right w:val="nil"/>
            </w:tcBorders>
            <w:shd w:val="clear" w:color="auto" w:fill="E0E0E0"/>
            <w:vAlign w:val="center"/>
          </w:tcPr>
          <w:p w14:paraId="7346DA24" w14:textId="77777777" w:rsidR="00CC0D14" w:rsidRPr="0086360E" w:rsidRDefault="00CC0D14" w:rsidP="00814DF3">
            <w:pPr>
              <w:spacing w:after="240" w:line="240" w:lineRule="auto"/>
              <w:jc w:val="right"/>
              <w:rPr>
                <w:rFonts w:cs="Times New Roman"/>
                <w:szCs w:val="24"/>
              </w:rPr>
            </w:pPr>
          </w:p>
        </w:tc>
        <w:tc>
          <w:tcPr>
            <w:tcW w:w="2610" w:type="dxa"/>
            <w:gridSpan w:val="3"/>
            <w:tcBorders>
              <w:top w:val="single" w:sz="8" w:space="0" w:color="AEAEAE"/>
              <w:left w:val="nil"/>
              <w:bottom w:val="nil"/>
              <w:right w:val="nil"/>
            </w:tcBorders>
            <w:shd w:val="clear" w:color="auto" w:fill="E0E0E0"/>
            <w:vAlign w:val="center"/>
          </w:tcPr>
          <w:p w14:paraId="002B8CCB" w14:textId="77777777" w:rsidR="00CC0D14" w:rsidRPr="0086360E" w:rsidRDefault="00CC0D14" w:rsidP="00814DF3">
            <w:pPr>
              <w:spacing w:after="240" w:line="240" w:lineRule="auto"/>
              <w:rPr>
                <w:rFonts w:cs="Times New Roman"/>
                <w:szCs w:val="24"/>
              </w:rPr>
            </w:pPr>
            <w:r w:rsidRPr="0086360E">
              <w:rPr>
                <w:rFonts w:cs="Times New Roman"/>
                <w:szCs w:val="24"/>
              </w:rPr>
              <w:t>Operational Efficiency</w:t>
            </w:r>
          </w:p>
        </w:tc>
        <w:tc>
          <w:tcPr>
            <w:tcW w:w="1350" w:type="dxa"/>
            <w:gridSpan w:val="2"/>
            <w:tcBorders>
              <w:top w:val="single" w:sz="8" w:space="0" w:color="AEAEAE"/>
              <w:left w:val="nil"/>
              <w:bottom w:val="nil"/>
              <w:right w:val="single" w:sz="8" w:space="0" w:color="E0E0E0"/>
            </w:tcBorders>
            <w:shd w:val="clear" w:color="auto" w:fill="FFFFFF"/>
            <w:vAlign w:val="center"/>
          </w:tcPr>
          <w:p w14:paraId="21C50903" w14:textId="77777777" w:rsidR="00CC0D14" w:rsidRPr="0086360E" w:rsidRDefault="00CC0D14" w:rsidP="00814DF3">
            <w:pPr>
              <w:spacing w:after="240" w:line="240" w:lineRule="auto"/>
              <w:jc w:val="right"/>
              <w:rPr>
                <w:rFonts w:cs="Times New Roman"/>
                <w:szCs w:val="24"/>
              </w:rPr>
            </w:pPr>
            <w:r w:rsidRPr="0086360E">
              <w:rPr>
                <w:rFonts w:cs="Times New Roman"/>
                <w:szCs w:val="24"/>
              </w:rPr>
              <w:t>72.302</w:t>
            </w:r>
            <w:r w:rsidRPr="0086360E">
              <w:rPr>
                <w:rFonts w:cs="Times New Roman"/>
                <w:szCs w:val="24"/>
                <w:vertAlign w:val="superscript"/>
              </w:rPr>
              <w:t>c</w:t>
            </w:r>
          </w:p>
        </w:tc>
        <w:tc>
          <w:tcPr>
            <w:tcW w:w="630" w:type="dxa"/>
            <w:tcBorders>
              <w:top w:val="single" w:sz="8" w:space="0" w:color="AEAEAE"/>
              <w:left w:val="single" w:sz="8" w:space="0" w:color="E0E0E0"/>
              <w:bottom w:val="nil"/>
              <w:right w:val="single" w:sz="8" w:space="0" w:color="E0E0E0"/>
            </w:tcBorders>
            <w:shd w:val="clear" w:color="auto" w:fill="FFFFFF"/>
            <w:vAlign w:val="center"/>
          </w:tcPr>
          <w:p w14:paraId="1EF77396" w14:textId="77777777" w:rsidR="00CC0D14" w:rsidRPr="0086360E" w:rsidRDefault="00CC0D14" w:rsidP="00814DF3">
            <w:pPr>
              <w:spacing w:after="240" w:line="240" w:lineRule="auto"/>
              <w:jc w:val="right"/>
              <w:rPr>
                <w:rFonts w:cs="Times New Roman"/>
                <w:szCs w:val="24"/>
              </w:rPr>
            </w:pPr>
            <w:r w:rsidRPr="0086360E">
              <w:rPr>
                <w:rFonts w:cs="Times New Roman"/>
                <w:szCs w:val="24"/>
              </w:rPr>
              <w:t>12</w:t>
            </w:r>
          </w:p>
        </w:tc>
        <w:tc>
          <w:tcPr>
            <w:tcW w:w="990" w:type="dxa"/>
            <w:gridSpan w:val="2"/>
            <w:tcBorders>
              <w:top w:val="single" w:sz="8" w:space="0" w:color="AEAEAE"/>
              <w:left w:val="single" w:sz="8" w:space="0" w:color="E0E0E0"/>
              <w:bottom w:val="nil"/>
              <w:right w:val="single" w:sz="8" w:space="0" w:color="E0E0E0"/>
            </w:tcBorders>
            <w:shd w:val="clear" w:color="auto" w:fill="FFFFFF"/>
          </w:tcPr>
          <w:p w14:paraId="161A0BE6" w14:textId="77777777" w:rsidR="00CC0D14" w:rsidRPr="0086360E" w:rsidRDefault="00CC0D14" w:rsidP="00814DF3">
            <w:pPr>
              <w:spacing w:after="240" w:line="240" w:lineRule="auto"/>
              <w:jc w:val="right"/>
              <w:rPr>
                <w:rFonts w:cs="Times New Roman"/>
                <w:szCs w:val="24"/>
              </w:rPr>
            </w:pPr>
            <w:r w:rsidRPr="0086360E">
              <w:rPr>
                <w:rFonts w:cs="Times New Roman"/>
                <w:szCs w:val="24"/>
              </w:rPr>
              <w:t>3.658</w:t>
            </w:r>
          </w:p>
        </w:tc>
        <w:tc>
          <w:tcPr>
            <w:tcW w:w="900" w:type="dxa"/>
            <w:gridSpan w:val="2"/>
            <w:tcBorders>
              <w:top w:val="single" w:sz="8" w:space="0" w:color="AEAEAE"/>
              <w:left w:val="single" w:sz="8" w:space="0" w:color="E0E0E0"/>
              <w:bottom w:val="nil"/>
              <w:right w:val="single" w:sz="8" w:space="0" w:color="E0E0E0"/>
            </w:tcBorders>
            <w:shd w:val="clear" w:color="auto" w:fill="FFFFFF"/>
          </w:tcPr>
          <w:p w14:paraId="00473832" w14:textId="77777777" w:rsidR="00CC0D14" w:rsidRPr="0086360E" w:rsidRDefault="00CC0D14" w:rsidP="00814DF3">
            <w:pPr>
              <w:spacing w:after="240" w:line="240" w:lineRule="auto"/>
              <w:jc w:val="right"/>
              <w:rPr>
                <w:rFonts w:cs="Times New Roman"/>
                <w:szCs w:val="24"/>
              </w:rPr>
            </w:pPr>
            <w:r w:rsidRPr="0086360E">
              <w:rPr>
                <w:rFonts w:cs="Times New Roman"/>
                <w:szCs w:val="24"/>
              </w:rPr>
              <w:t>211.603</w:t>
            </w:r>
          </w:p>
        </w:tc>
        <w:tc>
          <w:tcPr>
            <w:tcW w:w="720" w:type="dxa"/>
            <w:tcBorders>
              <w:top w:val="single" w:sz="8" w:space="0" w:color="AEAEAE"/>
              <w:left w:val="single" w:sz="8" w:space="0" w:color="E0E0E0"/>
              <w:bottom w:val="nil"/>
              <w:right w:val="nil"/>
            </w:tcBorders>
            <w:shd w:val="clear" w:color="auto" w:fill="FFFFFF"/>
          </w:tcPr>
          <w:p w14:paraId="47438E23" w14:textId="77777777" w:rsidR="00CC0D14" w:rsidRPr="0086360E" w:rsidRDefault="00CC0D14" w:rsidP="00814DF3">
            <w:pPr>
              <w:spacing w:after="240" w:line="240" w:lineRule="auto"/>
              <w:jc w:val="right"/>
              <w:rPr>
                <w:rFonts w:cs="Times New Roman"/>
                <w:szCs w:val="24"/>
              </w:rPr>
            </w:pPr>
            <w:r w:rsidRPr="0086360E">
              <w:rPr>
                <w:rFonts w:cs="Times New Roman"/>
                <w:szCs w:val="24"/>
              </w:rPr>
              <w:t>.000</w:t>
            </w:r>
          </w:p>
        </w:tc>
      </w:tr>
      <w:tr w:rsidR="00CC0D14" w:rsidRPr="0086360E" w14:paraId="683DBF23" w14:textId="77777777" w:rsidTr="00814DF3">
        <w:trPr>
          <w:gridAfter w:val="1"/>
          <w:wAfter w:w="41" w:type="dxa"/>
          <w:cantSplit/>
        </w:trPr>
        <w:tc>
          <w:tcPr>
            <w:tcW w:w="8730" w:type="dxa"/>
            <w:gridSpan w:val="13"/>
            <w:tcBorders>
              <w:top w:val="nil"/>
              <w:left w:val="nil"/>
              <w:bottom w:val="nil"/>
              <w:right w:val="nil"/>
            </w:tcBorders>
            <w:shd w:val="clear" w:color="auto" w:fill="FFFFFF"/>
          </w:tcPr>
          <w:p w14:paraId="64569277" w14:textId="77777777" w:rsidR="00CC0D14" w:rsidRPr="0086360E" w:rsidRDefault="00CC0D14" w:rsidP="00814DF3">
            <w:pPr>
              <w:spacing w:line="240" w:lineRule="auto"/>
              <w:rPr>
                <w:rFonts w:cs="Times New Roman"/>
                <w:szCs w:val="24"/>
              </w:rPr>
            </w:pPr>
            <w:r w:rsidRPr="0086360E">
              <w:rPr>
                <w:rFonts w:cs="Times New Roman"/>
                <w:szCs w:val="24"/>
              </w:rPr>
              <w:t>a. R Squared = 611 (Adjusted R Squared = .373)</w:t>
            </w:r>
          </w:p>
        </w:tc>
      </w:tr>
      <w:tr w:rsidR="00CC0D14" w:rsidRPr="0086360E" w14:paraId="12A2A727" w14:textId="77777777" w:rsidTr="00814DF3">
        <w:trPr>
          <w:gridAfter w:val="1"/>
          <w:wAfter w:w="41" w:type="dxa"/>
          <w:cantSplit/>
        </w:trPr>
        <w:tc>
          <w:tcPr>
            <w:tcW w:w="8730" w:type="dxa"/>
            <w:gridSpan w:val="13"/>
            <w:tcBorders>
              <w:top w:val="nil"/>
              <w:left w:val="nil"/>
              <w:bottom w:val="nil"/>
              <w:right w:val="nil"/>
            </w:tcBorders>
            <w:shd w:val="clear" w:color="auto" w:fill="FFFFFF"/>
          </w:tcPr>
          <w:p w14:paraId="23DA8EBD" w14:textId="77777777" w:rsidR="00CC0D14" w:rsidRPr="0086360E" w:rsidRDefault="00CC0D14" w:rsidP="00814DF3">
            <w:pPr>
              <w:spacing w:line="240" w:lineRule="auto"/>
              <w:rPr>
                <w:rFonts w:cs="Times New Roman"/>
                <w:szCs w:val="24"/>
              </w:rPr>
            </w:pPr>
            <w:r w:rsidRPr="0086360E">
              <w:rPr>
                <w:rFonts w:cs="Times New Roman"/>
                <w:szCs w:val="24"/>
              </w:rPr>
              <w:lastRenderedPageBreak/>
              <w:t>b. R Squared = .642 (Adjusted R Squared = .412)</w:t>
            </w:r>
          </w:p>
        </w:tc>
      </w:tr>
      <w:tr w:rsidR="00CC0D14" w:rsidRPr="0086360E" w14:paraId="0452C949" w14:textId="77777777" w:rsidTr="00814DF3">
        <w:trPr>
          <w:gridAfter w:val="1"/>
          <w:wAfter w:w="41" w:type="dxa"/>
          <w:cantSplit/>
        </w:trPr>
        <w:tc>
          <w:tcPr>
            <w:tcW w:w="8730" w:type="dxa"/>
            <w:gridSpan w:val="13"/>
            <w:tcBorders>
              <w:top w:val="nil"/>
              <w:left w:val="nil"/>
              <w:bottom w:val="single" w:sz="4" w:space="0" w:color="auto"/>
              <w:right w:val="nil"/>
            </w:tcBorders>
            <w:shd w:val="clear" w:color="auto" w:fill="FFFFFF"/>
          </w:tcPr>
          <w:p w14:paraId="04F34961" w14:textId="77777777" w:rsidR="00CC0D14" w:rsidRPr="0086360E" w:rsidRDefault="00CC0D14" w:rsidP="00814DF3">
            <w:pPr>
              <w:spacing w:line="240" w:lineRule="auto"/>
              <w:rPr>
                <w:rFonts w:cs="Times New Roman"/>
                <w:szCs w:val="24"/>
              </w:rPr>
            </w:pPr>
            <w:r w:rsidRPr="0086360E">
              <w:rPr>
                <w:rFonts w:cs="Times New Roman"/>
                <w:szCs w:val="24"/>
              </w:rPr>
              <w:t>c. R Squared = .581 (Adjusted R Squared = .338)</w:t>
            </w:r>
          </w:p>
        </w:tc>
      </w:tr>
    </w:tbl>
    <w:p w14:paraId="7700AE16" w14:textId="77777777" w:rsidR="00CC0D14" w:rsidRPr="0086360E" w:rsidRDefault="00CC0D14" w:rsidP="00CC0D14">
      <w:pPr>
        <w:spacing w:line="240" w:lineRule="auto"/>
        <w:rPr>
          <w:rFonts w:cs="Times New Roman"/>
          <w:b/>
          <w:bCs/>
          <w:i/>
          <w:iCs/>
          <w:szCs w:val="24"/>
        </w:rPr>
      </w:pPr>
      <w:r w:rsidRPr="0086360E">
        <w:rPr>
          <w:rFonts w:cs="Times New Roman"/>
          <w:b/>
          <w:bCs/>
          <w:i/>
          <w:iCs/>
          <w:szCs w:val="24"/>
        </w:rPr>
        <w:t>Source: SPSS V25 MANOVA Output</w:t>
      </w:r>
    </w:p>
    <w:p w14:paraId="70238783" w14:textId="77777777" w:rsidR="00CC0D14" w:rsidRPr="0086360E" w:rsidRDefault="00CC0D14" w:rsidP="00CC0D14">
      <w:pPr>
        <w:pStyle w:val="Heading3"/>
        <w:spacing w:line="240" w:lineRule="auto"/>
        <w:rPr>
          <w:rFonts w:cs="Times New Roman"/>
          <w:sz w:val="24"/>
          <w:szCs w:val="24"/>
        </w:rPr>
      </w:pPr>
      <w:bookmarkStart w:id="3" w:name="_Toc213387144"/>
      <w:r w:rsidRPr="0086360E">
        <w:rPr>
          <w:rFonts w:cs="Times New Roman"/>
          <w:sz w:val="24"/>
          <w:szCs w:val="24"/>
        </w:rPr>
        <w:t>MANOVA Results for Hypothesis Three</w:t>
      </w:r>
      <w:bookmarkEnd w:id="3"/>
    </w:p>
    <w:p w14:paraId="1E12A0CE" w14:textId="77777777" w:rsidR="00CC0D14" w:rsidRPr="0086360E" w:rsidRDefault="00CC0D14" w:rsidP="00CC0D14">
      <w:pPr>
        <w:spacing w:line="240" w:lineRule="auto"/>
        <w:rPr>
          <w:rFonts w:cs="Times New Roman"/>
          <w:szCs w:val="24"/>
        </w:rPr>
      </w:pPr>
      <w:r w:rsidRPr="0086360E">
        <w:rPr>
          <w:rFonts w:cs="Times New Roman"/>
          <w:szCs w:val="24"/>
        </w:rPr>
        <w:t xml:space="preserve">The relationship between conflict handling and the performance of selected Nigerian deposit money banks was examined using multivariate analysis of variance (MANOVA). The results presented in Table 2 show that conflict handling has a significant multivariate effect on the combined performance indicators (customer satisfaction, market competitiveness, and operational efficiency). As indicated by Wilks’ Lambda (Λ = 0.197, </w:t>
      </w:r>
      <w:proofErr w:type="gramStart"/>
      <w:r w:rsidRPr="0086360E">
        <w:rPr>
          <w:rFonts w:cs="Times New Roman"/>
          <w:szCs w:val="24"/>
        </w:rPr>
        <w:t>F(</w:t>
      </w:r>
      <w:proofErr w:type="gramEnd"/>
      <w:r w:rsidRPr="0086360E">
        <w:rPr>
          <w:rFonts w:cs="Times New Roman"/>
          <w:szCs w:val="24"/>
        </w:rPr>
        <w:t>3, 392.935) = 3987.401, p &lt; 0.001), the very low Lambda value signifies that a substantial proportion of the variance in the performance variables is explained by variations in conflict management practices among the banks. This finding suggests that effective conflict resolution contributes significantly to overall institutional performance.</w:t>
      </w:r>
    </w:p>
    <w:p w14:paraId="4BAFCE2F" w14:textId="77777777" w:rsidR="00CC0D14" w:rsidRPr="0086360E" w:rsidRDefault="00CC0D14" w:rsidP="00CC0D14">
      <w:pPr>
        <w:spacing w:line="240" w:lineRule="auto"/>
        <w:rPr>
          <w:rFonts w:cs="Times New Roman"/>
          <w:szCs w:val="24"/>
        </w:rPr>
      </w:pPr>
      <w:r w:rsidRPr="0086360E">
        <w:rPr>
          <w:rFonts w:cs="Times New Roman"/>
          <w:szCs w:val="24"/>
        </w:rPr>
        <w:t>Furthermore, the Tests of Between-Subjects Effects in Table 2 reveal that conflict handling has significant individual effects on each dependent variable. Specifically, conflict handling significantly affects customer satisfaction (F = 141.725, p = 0.000), market competitiveness (F = 164.882, p = 0.000), and operational efficiency (F = 167.746, p = 0.000). The corresponding R² values (.711, .783, and .694) indicate that conflict handling explains approximately 71.1%, 78.3%, and 69.4% of the variance in the respective performance measures. These results highlight a strong and consistent influence of conflict management on multiple aspects of bank performance.</w:t>
      </w:r>
    </w:p>
    <w:p w14:paraId="3285C8A0" w14:textId="77777777" w:rsidR="00CC0D14" w:rsidRPr="0086360E" w:rsidRDefault="00CC0D14" w:rsidP="00CC0D14">
      <w:pPr>
        <w:spacing w:line="240" w:lineRule="auto"/>
        <w:rPr>
          <w:rFonts w:cs="Times New Roman"/>
          <w:szCs w:val="24"/>
        </w:rPr>
      </w:pPr>
      <w:r w:rsidRPr="0086360E">
        <w:rPr>
          <w:rFonts w:cs="Times New Roman"/>
          <w:szCs w:val="24"/>
        </w:rPr>
        <w:t>The evidence in Table 2 demonstrates that conflict handling plays a crucial role in enhancing the performance of Nigerian deposit money banks. Institutions that adopt proactive conflict resolution mechanisms tend to operate more efficiently, maintain stronger market positions, and achieve higher customer satisfaction. Therefore, the null hypothesis which states that there is no significant effect of conflict handling on the performance of selected Nigerian deposit money banks in Lagos State is rejected, while the alternative hypothesis is accepted.</w:t>
      </w:r>
    </w:p>
    <w:tbl>
      <w:tblPr>
        <w:tblW w:w="8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855"/>
        <w:gridCol w:w="575"/>
        <w:gridCol w:w="465"/>
        <w:gridCol w:w="975"/>
        <w:gridCol w:w="220"/>
        <w:gridCol w:w="410"/>
        <w:gridCol w:w="1049"/>
        <w:gridCol w:w="31"/>
        <w:gridCol w:w="1071"/>
        <w:gridCol w:w="9"/>
        <w:gridCol w:w="990"/>
        <w:gridCol w:w="41"/>
      </w:tblGrid>
      <w:tr w:rsidR="00CC0D14" w:rsidRPr="0086360E" w14:paraId="16BEC298" w14:textId="77777777" w:rsidTr="00814DF3">
        <w:trPr>
          <w:cantSplit/>
        </w:trPr>
        <w:tc>
          <w:tcPr>
            <w:tcW w:w="8771" w:type="dxa"/>
            <w:gridSpan w:val="13"/>
            <w:tcBorders>
              <w:top w:val="nil"/>
              <w:left w:val="nil"/>
              <w:bottom w:val="single" w:sz="4" w:space="0" w:color="auto"/>
              <w:right w:val="nil"/>
            </w:tcBorders>
            <w:shd w:val="clear" w:color="auto" w:fill="FFFFFF"/>
            <w:vAlign w:val="center"/>
          </w:tcPr>
          <w:p w14:paraId="516E7D03" w14:textId="77777777" w:rsidR="00CC0D14" w:rsidRPr="0086360E" w:rsidRDefault="00CC0D14" w:rsidP="00814DF3">
            <w:pPr>
              <w:spacing w:line="240" w:lineRule="auto"/>
              <w:rPr>
                <w:rFonts w:cs="Times New Roman"/>
                <w:b/>
                <w:bCs/>
                <w:szCs w:val="24"/>
              </w:rPr>
            </w:pPr>
            <w:r w:rsidRPr="0086360E">
              <w:rPr>
                <w:rFonts w:cs="Times New Roman"/>
                <w:b/>
                <w:bCs/>
                <w:szCs w:val="24"/>
              </w:rPr>
              <w:t>Table 3: Multivariate Tests – Hypothesis Three</w:t>
            </w:r>
          </w:p>
        </w:tc>
      </w:tr>
      <w:tr w:rsidR="00CC0D14" w:rsidRPr="0086360E" w14:paraId="3412B3EF" w14:textId="77777777" w:rsidTr="00814DF3">
        <w:trPr>
          <w:cantSplit/>
        </w:trPr>
        <w:tc>
          <w:tcPr>
            <w:tcW w:w="2935" w:type="dxa"/>
            <w:gridSpan w:val="2"/>
            <w:tcBorders>
              <w:top w:val="single" w:sz="4" w:space="0" w:color="auto"/>
              <w:left w:val="nil"/>
              <w:bottom w:val="single" w:sz="8" w:space="0" w:color="AEAEAE"/>
              <w:right w:val="nil"/>
            </w:tcBorders>
            <w:shd w:val="clear" w:color="auto" w:fill="FFFFFF"/>
            <w:vAlign w:val="bottom"/>
          </w:tcPr>
          <w:p w14:paraId="2F3C0747" w14:textId="77777777" w:rsidR="00CC0D14" w:rsidRPr="0086360E" w:rsidRDefault="00CC0D14" w:rsidP="00814DF3">
            <w:pPr>
              <w:spacing w:line="240" w:lineRule="auto"/>
              <w:rPr>
                <w:rFonts w:cs="Times New Roman"/>
                <w:szCs w:val="24"/>
              </w:rPr>
            </w:pPr>
            <w:r w:rsidRPr="0086360E">
              <w:rPr>
                <w:rFonts w:cs="Times New Roman"/>
                <w:szCs w:val="24"/>
              </w:rPr>
              <w:t>Effect</w:t>
            </w:r>
          </w:p>
        </w:tc>
        <w:tc>
          <w:tcPr>
            <w:tcW w:w="1040" w:type="dxa"/>
            <w:gridSpan w:val="2"/>
            <w:tcBorders>
              <w:top w:val="single" w:sz="4" w:space="0" w:color="auto"/>
              <w:left w:val="nil"/>
              <w:bottom w:val="single" w:sz="8" w:space="0" w:color="AEAEAE"/>
              <w:right w:val="single" w:sz="8" w:space="0" w:color="E0E0E0"/>
            </w:tcBorders>
            <w:shd w:val="clear" w:color="auto" w:fill="FFFFFF"/>
            <w:vAlign w:val="bottom"/>
          </w:tcPr>
          <w:p w14:paraId="2CF00244" w14:textId="77777777" w:rsidR="00CC0D14" w:rsidRPr="0086360E" w:rsidRDefault="00CC0D14" w:rsidP="00814DF3">
            <w:pPr>
              <w:spacing w:line="240" w:lineRule="auto"/>
              <w:jc w:val="center"/>
              <w:rPr>
                <w:rFonts w:cs="Times New Roman"/>
                <w:szCs w:val="24"/>
              </w:rPr>
            </w:pPr>
            <w:r w:rsidRPr="0086360E">
              <w:rPr>
                <w:rFonts w:cs="Times New Roman"/>
                <w:szCs w:val="24"/>
              </w:rPr>
              <w:t>Value</w:t>
            </w:r>
          </w:p>
        </w:tc>
        <w:tc>
          <w:tcPr>
            <w:tcW w:w="1195" w:type="dxa"/>
            <w:gridSpan w:val="2"/>
            <w:tcBorders>
              <w:top w:val="single" w:sz="4" w:space="0" w:color="auto"/>
              <w:left w:val="single" w:sz="8" w:space="0" w:color="E0E0E0"/>
              <w:bottom w:val="single" w:sz="8" w:space="0" w:color="AEAEAE"/>
              <w:right w:val="single" w:sz="8" w:space="0" w:color="E0E0E0"/>
            </w:tcBorders>
            <w:shd w:val="clear" w:color="auto" w:fill="FFFFFF"/>
            <w:vAlign w:val="bottom"/>
          </w:tcPr>
          <w:p w14:paraId="0E93AB85" w14:textId="77777777" w:rsidR="00CC0D14" w:rsidRPr="0086360E" w:rsidRDefault="00CC0D14" w:rsidP="00814DF3">
            <w:pPr>
              <w:spacing w:line="240" w:lineRule="auto"/>
              <w:jc w:val="center"/>
              <w:rPr>
                <w:rFonts w:cs="Times New Roman"/>
                <w:szCs w:val="24"/>
              </w:rPr>
            </w:pPr>
            <w:r w:rsidRPr="0086360E">
              <w:rPr>
                <w:rFonts w:cs="Times New Roman"/>
                <w:szCs w:val="24"/>
              </w:rPr>
              <w:t>F</w:t>
            </w:r>
          </w:p>
        </w:tc>
        <w:tc>
          <w:tcPr>
            <w:tcW w:w="1459" w:type="dxa"/>
            <w:gridSpan w:val="2"/>
            <w:tcBorders>
              <w:top w:val="single" w:sz="4" w:space="0" w:color="auto"/>
              <w:left w:val="single" w:sz="8" w:space="0" w:color="E0E0E0"/>
              <w:bottom w:val="single" w:sz="8" w:space="0" w:color="AEAEAE"/>
              <w:right w:val="single" w:sz="8" w:space="0" w:color="E0E0E0"/>
            </w:tcBorders>
            <w:shd w:val="clear" w:color="auto" w:fill="FFFFFF"/>
            <w:vAlign w:val="bottom"/>
          </w:tcPr>
          <w:p w14:paraId="5227C55D" w14:textId="77777777" w:rsidR="00CC0D14" w:rsidRPr="0086360E" w:rsidRDefault="00CC0D14" w:rsidP="00814DF3">
            <w:pPr>
              <w:spacing w:line="240" w:lineRule="auto"/>
              <w:jc w:val="center"/>
              <w:rPr>
                <w:rFonts w:cs="Times New Roman"/>
                <w:szCs w:val="24"/>
              </w:rPr>
            </w:pPr>
            <w:r w:rsidRPr="0086360E">
              <w:rPr>
                <w:rFonts w:cs="Times New Roman"/>
                <w:szCs w:val="24"/>
              </w:rPr>
              <w:t xml:space="preserve">Hypothesis </w:t>
            </w:r>
            <w:proofErr w:type="spellStart"/>
            <w:r w:rsidRPr="0086360E">
              <w:rPr>
                <w:rFonts w:cs="Times New Roman"/>
                <w:szCs w:val="24"/>
              </w:rPr>
              <w:t>df</w:t>
            </w:r>
            <w:proofErr w:type="spellEnd"/>
          </w:p>
        </w:tc>
        <w:tc>
          <w:tcPr>
            <w:tcW w:w="1102" w:type="dxa"/>
            <w:gridSpan w:val="2"/>
            <w:tcBorders>
              <w:top w:val="single" w:sz="4" w:space="0" w:color="auto"/>
              <w:left w:val="single" w:sz="8" w:space="0" w:color="E0E0E0"/>
              <w:bottom w:val="single" w:sz="8" w:space="0" w:color="AEAEAE"/>
              <w:right w:val="single" w:sz="8" w:space="0" w:color="E0E0E0"/>
            </w:tcBorders>
            <w:shd w:val="clear" w:color="auto" w:fill="FFFFFF"/>
            <w:vAlign w:val="bottom"/>
          </w:tcPr>
          <w:p w14:paraId="5ACB5587" w14:textId="77777777" w:rsidR="00CC0D14" w:rsidRPr="0086360E" w:rsidRDefault="00CC0D14" w:rsidP="00814DF3">
            <w:pPr>
              <w:spacing w:line="240" w:lineRule="auto"/>
              <w:jc w:val="center"/>
              <w:rPr>
                <w:rFonts w:cs="Times New Roman"/>
                <w:szCs w:val="24"/>
              </w:rPr>
            </w:pPr>
            <w:r w:rsidRPr="0086360E">
              <w:rPr>
                <w:rFonts w:cs="Times New Roman"/>
                <w:szCs w:val="24"/>
              </w:rPr>
              <w:t xml:space="preserve">Error </w:t>
            </w:r>
            <w:proofErr w:type="spellStart"/>
            <w:r w:rsidRPr="0086360E">
              <w:rPr>
                <w:rFonts w:cs="Times New Roman"/>
                <w:szCs w:val="24"/>
              </w:rPr>
              <w:t>df</w:t>
            </w:r>
            <w:proofErr w:type="spellEnd"/>
          </w:p>
        </w:tc>
        <w:tc>
          <w:tcPr>
            <w:tcW w:w="1040" w:type="dxa"/>
            <w:gridSpan w:val="3"/>
            <w:tcBorders>
              <w:top w:val="single" w:sz="4" w:space="0" w:color="auto"/>
              <w:left w:val="single" w:sz="8" w:space="0" w:color="E0E0E0"/>
              <w:bottom w:val="single" w:sz="8" w:space="0" w:color="AEAEAE"/>
              <w:right w:val="nil"/>
            </w:tcBorders>
            <w:shd w:val="clear" w:color="auto" w:fill="FFFFFF"/>
            <w:vAlign w:val="bottom"/>
          </w:tcPr>
          <w:p w14:paraId="459D0697" w14:textId="77777777" w:rsidR="00CC0D14" w:rsidRPr="0086360E" w:rsidRDefault="00CC0D14" w:rsidP="00814DF3">
            <w:pPr>
              <w:spacing w:line="240" w:lineRule="auto"/>
              <w:jc w:val="center"/>
              <w:rPr>
                <w:rFonts w:cs="Times New Roman"/>
                <w:szCs w:val="24"/>
              </w:rPr>
            </w:pPr>
            <w:r w:rsidRPr="0086360E">
              <w:rPr>
                <w:rFonts w:cs="Times New Roman"/>
                <w:szCs w:val="24"/>
              </w:rPr>
              <w:t>Sig.</w:t>
            </w:r>
          </w:p>
        </w:tc>
      </w:tr>
      <w:tr w:rsidR="00CC0D14" w:rsidRPr="0086360E" w14:paraId="73AF60C7" w14:textId="77777777" w:rsidTr="00814DF3">
        <w:trPr>
          <w:cantSplit/>
        </w:trPr>
        <w:tc>
          <w:tcPr>
            <w:tcW w:w="1080" w:type="dxa"/>
            <w:tcBorders>
              <w:top w:val="single" w:sz="8" w:space="0" w:color="AEAEAE"/>
              <w:left w:val="nil"/>
              <w:bottom w:val="single" w:sz="4" w:space="0" w:color="auto"/>
              <w:right w:val="nil"/>
            </w:tcBorders>
            <w:shd w:val="clear" w:color="auto" w:fill="E0E0E0"/>
            <w:vAlign w:val="center"/>
          </w:tcPr>
          <w:p w14:paraId="4C8DB2F0" w14:textId="77777777" w:rsidR="00CC0D14" w:rsidRPr="0086360E" w:rsidRDefault="00CC0D14" w:rsidP="00814DF3">
            <w:pPr>
              <w:spacing w:after="240" w:line="240" w:lineRule="auto"/>
              <w:rPr>
                <w:rFonts w:cs="Times New Roman"/>
                <w:szCs w:val="24"/>
              </w:rPr>
            </w:pPr>
            <w:r w:rsidRPr="0086360E">
              <w:rPr>
                <w:rFonts w:cs="Times New Roman"/>
                <w:szCs w:val="24"/>
              </w:rPr>
              <w:t>Conflict Handling</w:t>
            </w:r>
          </w:p>
        </w:tc>
        <w:tc>
          <w:tcPr>
            <w:tcW w:w="1855" w:type="dxa"/>
            <w:tcBorders>
              <w:top w:val="single" w:sz="8" w:space="0" w:color="AEAEAE"/>
              <w:left w:val="nil"/>
              <w:bottom w:val="single" w:sz="4" w:space="0" w:color="auto"/>
              <w:right w:val="nil"/>
            </w:tcBorders>
            <w:shd w:val="clear" w:color="auto" w:fill="E0E0E0"/>
            <w:vAlign w:val="center"/>
          </w:tcPr>
          <w:p w14:paraId="7316763A" w14:textId="77777777" w:rsidR="00CC0D14" w:rsidRPr="0086360E" w:rsidRDefault="00CC0D14" w:rsidP="00814DF3">
            <w:pPr>
              <w:spacing w:after="240" w:line="240" w:lineRule="auto"/>
              <w:jc w:val="right"/>
              <w:rPr>
                <w:rFonts w:cs="Times New Roman"/>
                <w:szCs w:val="24"/>
              </w:rPr>
            </w:pPr>
            <w:r w:rsidRPr="0086360E">
              <w:rPr>
                <w:rFonts w:cs="Times New Roman"/>
                <w:szCs w:val="24"/>
              </w:rPr>
              <w:t>Wilks' Lambda</w:t>
            </w:r>
          </w:p>
        </w:tc>
        <w:tc>
          <w:tcPr>
            <w:tcW w:w="1040" w:type="dxa"/>
            <w:gridSpan w:val="2"/>
            <w:tcBorders>
              <w:top w:val="single" w:sz="8" w:space="0" w:color="AEAEAE"/>
              <w:left w:val="nil"/>
              <w:bottom w:val="single" w:sz="4" w:space="0" w:color="auto"/>
              <w:right w:val="single" w:sz="8" w:space="0" w:color="E0E0E0"/>
            </w:tcBorders>
            <w:shd w:val="clear" w:color="auto" w:fill="FFFFFF"/>
            <w:vAlign w:val="center"/>
          </w:tcPr>
          <w:p w14:paraId="3FC2957E" w14:textId="77777777" w:rsidR="00CC0D14" w:rsidRPr="0086360E" w:rsidRDefault="00CC0D14" w:rsidP="00814DF3">
            <w:pPr>
              <w:spacing w:after="240" w:line="240" w:lineRule="auto"/>
              <w:jc w:val="right"/>
              <w:rPr>
                <w:rFonts w:cs="Times New Roman"/>
                <w:szCs w:val="24"/>
              </w:rPr>
            </w:pPr>
            <w:r w:rsidRPr="0086360E">
              <w:rPr>
                <w:rFonts w:cs="Times New Roman"/>
                <w:szCs w:val="24"/>
              </w:rPr>
              <w:t>.197</w:t>
            </w:r>
          </w:p>
        </w:tc>
        <w:tc>
          <w:tcPr>
            <w:tcW w:w="1195"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26EDD785" w14:textId="77777777" w:rsidR="00CC0D14" w:rsidRPr="0086360E" w:rsidRDefault="00CC0D14" w:rsidP="00814DF3">
            <w:pPr>
              <w:spacing w:after="240" w:line="240" w:lineRule="auto"/>
              <w:jc w:val="right"/>
              <w:rPr>
                <w:rFonts w:cs="Times New Roman"/>
                <w:szCs w:val="24"/>
              </w:rPr>
            </w:pPr>
            <w:r w:rsidRPr="0086360E">
              <w:rPr>
                <w:rFonts w:cs="Times New Roman"/>
                <w:szCs w:val="24"/>
              </w:rPr>
              <w:t>3987.401</w:t>
            </w:r>
          </w:p>
        </w:tc>
        <w:tc>
          <w:tcPr>
            <w:tcW w:w="1459"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0D71CD81" w14:textId="77777777" w:rsidR="00CC0D14" w:rsidRPr="0086360E" w:rsidRDefault="00CC0D14" w:rsidP="00814DF3">
            <w:pPr>
              <w:spacing w:after="240" w:line="240" w:lineRule="auto"/>
              <w:jc w:val="right"/>
              <w:rPr>
                <w:rFonts w:cs="Times New Roman"/>
                <w:szCs w:val="24"/>
              </w:rPr>
            </w:pPr>
            <w:r w:rsidRPr="0086360E">
              <w:rPr>
                <w:rFonts w:cs="Times New Roman"/>
                <w:szCs w:val="24"/>
              </w:rPr>
              <w:t>3.000</w:t>
            </w:r>
          </w:p>
        </w:tc>
        <w:tc>
          <w:tcPr>
            <w:tcW w:w="1102" w:type="dxa"/>
            <w:gridSpan w:val="2"/>
            <w:tcBorders>
              <w:top w:val="single" w:sz="8" w:space="0" w:color="AEAEAE"/>
              <w:left w:val="single" w:sz="8" w:space="0" w:color="E0E0E0"/>
              <w:bottom w:val="single" w:sz="4" w:space="0" w:color="auto"/>
              <w:right w:val="single" w:sz="8" w:space="0" w:color="E0E0E0"/>
            </w:tcBorders>
            <w:shd w:val="clear" w:color="auto" w:fill="FFFFFF"/>
            <w:vAlign w:val="center"/>
          </w:tcPr>
          <w:p w14:paraId="61E58C94" w14:textId="77777777" w:rsidR="00CC0D14" w:rsidRPr="0086360E" w:rsidRDefault="00CC0D14" w:rsidP="00814DF3">
            <w:pPr>
              <w:spacing w:after="240" w:line="240" w:lineRule="auto"/>
              <w:jc w:val="right"/>
              <w:rPr>
                <w:rFonts w:cs="Times New Roman"/>
                <w:szCs w:val="24"/>
              </w:rPr>
            </w:pPr>
            <w:r w:rsidRPr="0086360E">
              <w:rPr>
                <w:rFonts w:cs="Times New Roman"/>
                <w:szCs w:val="24"/>
              </w:rPr>
              <w:t>392.935</w:t>
            </w:r>
          </w:p>
        </w:tc>
        <w:tc>
          <w:tcPr>
            <w:tcW w:w="1040" w:type="dxa"/>
            <w:gridSpan w:val="3"/>
            <w:tcBorders>
              <w:top w:val="single" w:sz="8" w:space="0" w:color="AEAEAE"/>
              <w:left w:val="single" w:sz="8" w:space="0" w:color="E0E0E0"/>
              <w:bottom w:val="single" w:sz="4" w:space="0" w:color="auto"/>
              <w:right w:val="nil"/>
            </w:tcBorders>
            <w:shd w:val="clear" w:color="auto" w:fill="FFFFFF"/>
            <w:vAlign w:val="center"/>
          </w:tcPr>
          <w:p w14:paraId="3E4EE4E1" w14:textId="77777777" w:rsidR="00CC0D14" w:rsidRPr="0086360E" w:rsidRDefault="00CC0D14" w:rsidP="00814DF3">
            <w:pPr>
              <w:spacing w:after="240" w:line="240" w:lineRule="auto"/>
              <w:jc w:val="right"/>
              <w:rPr>
                <w:rFonts w:cs="Times New Roman"/>
                <w:szCs w:val="24"/>
              </w:rPr>
            </w:pPr>
            <w:r w:rsidRPr="0086360E">
              <w:rPr>
                <w:rFonts w:cs="Times New Roman"/>
                <w:szCs w:val="24"/>
              </w:rPr>
              <w:t>.000</w:t>
            </w:r>
          </w:p>
        </w:tc>
      </w:tr>
      <w:tr w:rsidR="00CC0D14" w:rsidRPr="0086360E" w14:paraId="445B1939" w14:textId="77777777" w:rsidTr="00814DF3">
        <w:trPr>
          <w:gridAfter w:val="1"/>
          <w:wAfter w:w="41" w:type="dxa"/>
          <w:cantSplit/>
        </w:trPr>
        <w:tc>
          <w:tcPr>
            <w:tcW w:w="8730" w:type="dxa"/>
            <w:gridSpan w:val="12"/>
            <w:tcBorders>
              <w:top w:val="nil"/>
              <w:left w:val="nil"/>
              <w:bottom w:val="nil"/>
              <w:right w:val="nil"/>
            </w:tcBorders>
            <w:shd w:val="clear" w:color="auto" w:fill="FFFFFF"/>
            <w:vAlign w:val="center"/>
          </w:tcPr>
          <w:p w14:paraId="2A20B8B7" w14:textId="77777777" w:rsidR="00CC0D14" w:rsidRPr="0086360E" w:rsidRDefault="00CC0D14" w:rsidP="00814DF3">
            <w:pPr>
              <w:spacing w:line="240" w:lineRule="auto"/>
              <w:jc w:val="center"/>
              <w:rPr>
                <w:rFonts w:cs="Times New Roman"/>
                <w:b/>
                <w:bCs/>
                <w:szCs w:val="24"/>
              </w:rPr>
            </w:pPr>
            <w:r w:rsidRPr="0086360E">
              <w:rPr>
                <w:rFonts w:cs="Times New Roman"/>
                <w:b/>
                <w:bCs/>
                <w:szCs w:val="24"/>
              </w:rPr>
              <w:t>Tests of Between-Subjects Effects- Hypothesis One</w:t>
            </w:r>
          </w:p>
        </w:tc>
      </w:tr>
      <w:tr w:rsidR="00CC0D14" w:rsidRPr="0086360E" w14:paraId="036FA88B" w14:textId="77777777" w:rsidTr="00814DF3">
        <w:trPr>
          <w:gridAfter w:val="1"/>
          <w:wAfter w:w="41" w:type="dxa"/>
          <w:cantSplit/>
        </w:trPr>
        <w:tc>
          <w:tcPr>
            <w:tcW w:w="1080" w:type="dxa"/>
            <w:tcBorders>
              <w:top w:val="single" w:sz="4" w:space="0" w:color="auto"/>
              <w:left w:val="nil"/>
              <w:bottom w:val="single" w:sz="8" w:space="0" w:color="152935"/>
              <w:right w:val="nil"/>
            </w:tcBorders>
            <w:shd w:val="clear" w:color="auto" w:fill="FFFFFF"/>
            <w:vAlign w:val="center"/>
          </w:tcPr>
          <w:p w14:paraId="75E38A41" w14:textId="77777777" w:rsidR="00CC0D14" w:rsidRPr="0086360E" w:rsidRDefault="00CC0D14" w:rsidP="00814DF3">
            <w:pPr>
              <w:spacing w:line="240" w:lineRule="auto"/>
              <w:jc w:val="center"/>
              <w:rPr>
                <w:rFonts w:cs="Times New Roman"/>
                <w:szCs w:val="24"/>
              </w:rPr>
            </w:pPr>
            <w:r w:rsidRPr="0086360E">
              <w:rPr>
                <w:rFonts w:cs="Times New Roman"/>
                <w:szCs w:val="24"/>
              </w:rPr>
              <w:t>Source</w:t>
            </w:r>
          </w:p>
        </w:tc>
        <w:tc>
          <w:tcPr>
            <w:tcW w:w="2430" w:type="dxa"/>
            <w:gridSpan w:val="2"/>
            <w:tcBorders>
              <w:top w:val="single" w:sz="4" w:space="0" w:color="auto"/>
              <w:left w:val="nil"/>
              <w:bottom w:val="single" w:sz="8" w:space="0" w:color="152935"/>
              <w:right w:val="nil"/>
            </w:tcBorders>
            <w:shd w:val="clear" w:color="auto" w:fill="FFFFFF"/>
            <w:vAlign w:val="center"/>
          </w:tcPr>
          <w:p w14:paraId="353BC4B1" w14:textId="77777777" w:rsidR="00CC0D14" w:rsidRPr="0086360E" w:rsidRDefault="00CC0D14" w:rsidP="00814DF3">
            <w:pPr>
              <w:spacing w:line="240" w:lineRule="auto"/>
              <w:jc w:val="center"/>
              <w:rPr>
                <w:rFonts w:cs="Times New Roman"/>
                <w:szCs w:val="24"/>
              </w:rPr>
            </w:pPr>
            <w:r w:rsidRPr="0086360E">
              <w:rPr>
                <w:rFonts w:cs="Times New Roman"/>
                <w:szCs w:val="24"/>
              </w:rPr>
              <w:t>Dependent Variable</w:t>
            </w:r>
          </w:p>
        </w:tc>
        <w:tc>
          <w:tcPr>
            <w:tcW w:w="1440" w:type="dxa"/>
            <w:gridSpan w:val="2"/>
            <w:tcBorders>
              <w:top w:val="single" w:sz="4" w:space="0" w:color="auto"/>
              <w:left w:val="nil"/>
              <w:bottom w:val="single" w:sz="8" w:space="0" w:color="152935"/>
              <w:right w:val="single" w:sz="8" w:space="0" w:color="E0E0E0"/>
            </w:tcBorders>
            <w:shd w:val="clear" w:color="auto" w:fill="FFFFFF"/>
            <w:vAlign w:val="center"/>
          </w:tcPr>
          <w:p w14:paraId="50F5957D" w14:textId="77777777" w:rsidR="00CC0D14" w:rsidRPr="0086360E" w:rsidRDefault="00CC0D14" w:rsidP="00814DF3">
            <w:pPr>
              <w:spacing w:line="240" w:lineRule="auto"/>
              <w:jc w:val="center"/>
              <w:rPr>
                <w:rFonts w:cs="Times New Roman"/>
                <w:szCs w:val="24"/>
              </w:rPr>
            </w:pPr>
            <w:r w:rsidRPr="0086360E">
              <w:rPr>
                <w:rFonts w:cs="Times New Roman"/>
                <w:szCs w:val="24"/>
              </w:rPr>
              <w:t>Type III Sum of Squares</w:t>
            </w:r>
          </w:p>
        </w:tc>
        <w:tc>
          <w:tcPr>
            <w:tcW w:w="630" w:type="dxa"/>
            <w:gridSpan w:val="2"/>
            <w:tcBorders>
              <w:top w:val="single" w:sz="4" w:space="0" w:color="auto"/>
              <w:left w:val="single" w:sz="8" w:space="0" w:color="E0E0E0"/>
              <w:bottom w:val="single" w:sz="8" w:space="0" w:color="152935"/>
              <w:right w:val="single" w:sz="8" w:space="0" w:color="E0E0E0"/>
            </w:tcBorders>
            <w:shd w:val="clear" w:color="auto" w:fill="FFFFFF"/>
            <w:vAlign w:val="center"/>
          </w:tcPr>
          <w:p w14:paraId="7874B86B" w14:textId="77777777" w:rsidR="00CC0D14" w:rsidRPr="0086360E" w:rsidRDefault="00CC0D14" w:rsidP="00814DF3">
            <w:pPr>
              <w:spacing w:line="240" w:lineRule="auto"/>
              <w:jc w:val="center"/>
              <w:rPr>
                <w:rFonts w:cs="Times New Roman"/>
                <w:szCs w:val="24"/>
              </w:rPr>
            </w:pPr>
            <w:proofErr w:type="spellStart"/>
            <w:r w:rsidRPr="0086360E">
              <w:rPr>
                <w:rFonts w:cs="Times New Roman"/>
                <w:szCs w:val="24"/>
              </w:rPr>
              <w:t>df</w:t>
            </w:r>
            <w:proofErr w:type="spellEnd"/>
          </w:p>
        </w:tc>
        <w:tc>
          <w:tcPr>
            <w:tcW w:w="1080" w:type="dxa"/>
            <w:gridSpan w:val="2"/>
            <w:tcBorders>
              <w:top w:val="single" w:sz="4" w:space="0" w:color="auto"/>
              <w:left w:val="single" w:sz="8" w:space="0" w:color="E0E0E0"/>
              <w:bottom w:val="single" w:sz="8" w:space="0" w:color="152935"/>
              <w:right w:val="single" w:sz="8" w:space="0" w:color="E0E0E0"/>
            </w:tcBorders>
            <w:shd w:val="clear" w:color="auto" w:fill="FFFFFF"/>
            <w:vAlign w:val="center"/>
          </w:tcPr>
          <w:p w14:paraId="30D3E32C" w14:textId="77777777" w:rsidR="00CC0D14" w:rsidRPr="0086360E" w:rsidRDefault="00CC0D14" w:rsidP="00814DF3">
            <w:pPr>
              <w:spacing w:line="240" w:lineRule="auto"/>
              <w:jc w:val="center"/>
              <w:rPr>
                <w:rFonts w:cs="Times New Roman"/>
                <w:szCs w:val="24"/>
              </w:rPr>
            </w:pPr>
            <w:r w:rsidRPr="0086360E">
              <w:rPr>
                <w:rFonts w:cs="Times New Roman"/>
                <w:szCs w:val="24"/>
              </w:rPr>
              <w:t>Mean Square</w:t>
            </w:r>
          </w:p>
        </w:tc>
        <w:tc>
          <w:tcPr>
            <w:tcW w:w="1080" w:type="dxa"/>
            <w:gridSpan w:val="2"/>
            <w:tcBorders>
              <w:top w:val="single" w:sz="4" w:space="0" w:color="auto"/>
              <w:left w:val="single" w:sz="8" w:space="0" w:color="E0E0E0"/>
              <w:bottom w:val="single" w:sz="8" w:space="0" w:color="152935"/>
              <w:right w:val="single" w:sz="8" w:space="0" w:color="E0E0E0"/>
            </w:tcBorders>
            <w:shd w:val="clear" w:color="auto" w:fill="FFFFFF"/>
            <w:vAlign w:val="center"/>
          </w:tcPr>
          <w:p w14:paraId="4BBEE407" w14:textId="77777777" w:rsidR="00CC0D14" w:rsidRPr="0086360E" w:rsidRDefault="00CC0D14" w:rsidP="00814DF3">
            <w:pPr>
              <w:spacing w:line="240" w:lineRule="auto"/>
              <w:jc w:val="center"/>
              <w:rPr>
                <w:rFonts w:cs="Times New Roman"/>
                <w:szCs w:val="24"/>
              </w:rPr>
            </w:pPr>
            <w:r w:rsidRPr="0086360E">
              <w:rPr>
                <w:rFonts w:cs="Times New Roman"/>
                <w:szCs w:val="24"/>
              </w:rPr>
              <w:t>F</w:t>
            </w:r>
          </w:p>
        </w:tc>
        <w:tc>
          <w:tcPr>
            <w:tcW w:w="990" w:type="dxa"/>
            <w:tcBorders>
              <w:top w:val="single" w:sz="4" w:space="0" w:color="auto"/>
              <w:left w:val="single" w:sz="8" w:space="0" w:color="E0E0E0"/>
              <w:bottom w:val="single" w:sz="8" w:space="0" w:color="152935"/>
              <w:right w:val="nil"/>
            </w:tcBorders>
            <w:shd w:val="clear" w:color="auto" w:fill="FFFFFF"/>
            <w:vAlign w:val="center"/>
          </w:tcPr>
          <w:p w14:paraId="753EC099" w14:textId="77777777" w:rsidR="00CC0D14" w:rsidRPr="0086360E" w:rsidRDefault="00CC0D14" w:rsidP="00814DF3">
            <w:pPr>
              <w:spacing w:line="240" w:lineRule="auto"/>
              <w:jc w:val="center"/>
              <w:rPr>
                <w:rFonts w:cs="Times New Roman"/>
                <w:szCs w:val="24"/>
              </w:rPr>
            </w:pPr>
            <w:r w:rsidRPr="0086360E">
              <w:rPr>
                <w:rFonts w:cs="Times New Roman"/>
                <w:szCs w:val="24"/>
              </w:rPr>
              <w:t>Sig.</w:t>
            </w:r>
          </w:p>
        </w:tc>
      </w:tr>
      <w:tr w:rsidR="00CC0D14" w:rsidRPr="0086360E" w14:paraId="35727EE9" w14:textId="77777777" w:rsidTr="00814DF3">
        <w:trPr>
          <w:gridAfter w:val="1"/>
          <w:wAfter w:w="41" w:type="dxa"/>
          <w:cantSplit/>
        </w:trPr>
        <w:tc>
          <w:tcPr>
            <w:tcW w:w="1080" w:type="dxa"/>
            <w:vMerge w:val="restart"/>
            <w:tcBorders>
              <w:top w:val="single" w:sz="8" w:space="0" w:color="152935"/>
              <w:left w:val="nil"/>
              <w:bottom w:val="single" w:sz="4" w:space="0" w:color="auto"/>
              <w:right w:val="nil"/>
            </w:tcBorders>
            <w:shd w:val="clear" w:color="auto" w:fill="E0E0E0"/>
            <w:vAlign w:val="center"/>
          </w:tcPr>
          <w:p w14:paraId="6DA192D1" w14:textId="77777777" w:rsidR="00CC0D14" w:rsidRPr="0086360E" w:rsidRDefault="00CC0D14" w:rsidP="00814DF3">
            <w:pPr>
              <w:spacing w:after="240" w:line="240" w:lineRule="auto"/>
              <w:rPr>
                <w:rFonts w:cs="Times New Roman"/>
                <w:szCs w:val="24"/>
              </w:rPr>
            </w:pPr>
            <w:r w:rsidRPr="0086360E">
              <w:rPr>
                <w:rFonts w:cs="Times New Roman"/>
                <w:szCs w:val="24"/>
              </w:rPr>
              <w:t>Conflict Handling</w:t>
            </w:r>
          </w:p>
        </w:tc>
        <w:tc>
          <w:tcPr>
            <w:tcW w:w="2430" w:type="dxa"/>
            <w:gridSpan w:val="2"/>
            <w:tcBorders>
              <w:top w:val="single" w:sz="8" w:space="0" w:color="AEAEAE"/>
              <w:left w:val="nil"/>
              <w:bottom w:val="single" w:sz="8" w:space="0" w:color="AEAEAE"/>
              <w:right w:val="nil"/>
            </w:tcBorders>
            <w:shd w:val="clear" w:color="auto" w:fill="E0E0E0"/>
            <w:vAlign w:val="center"/>
          </w:tcPr>
          <w:p w14:paraId="6A8A5036" w14:textId="77777777" w:rsidR="00CC0D14" w:rsidRPr="0086360E" w:rsidRDefault="00CC0D14" w:rsidP="00814DF3">
            <w:pPr>
              <w:spacing w:after="240" w:line="240" w:lineRule="auto"/>
              <w:rPr>
                <w:rFonts w:cs="Times New Roman"/>
                <w:szCs w:val="24"/>
              </w:rPr>
            </w:pPr>
            <w:r w:rsidRPr="0086360E">
              <w:rPr>
                <w:rFonts w:cs="Times New Roman"/>
                <w:szCs w:val="24"/>
              </w:rPr>
              <w:t>Customer Satisfaction</w:t>
            </w:r>
          </w:p>
        </w:tc>
        <w:tc>
          <w:tcPr>
            <w:tcW w:w="1440" w:type="dxa"/>
            <w:gridSpan w:val="2"/>
            <w:tcBorders>
              <w:top w:val="single" w:sz="8" w:space="0" w:color="AEAEAE"/>
              <w:left w:val="nil"/>
              <w:bottom w:val="single" w:sz="8" w:space="0" w:color="AEAEAE"/>
              <w:right w:val="single" w:sz="8" w:space="0" w:color="E0E0E0"/>
            </w:tcBorders>
            <w:shd w:val="clear" w:color="auto" w:fill="FFFFFF"/>
          </w:tcPr>
          <w:p w14:paraId="57342439" w14:textId="77777777" w:rsidR="00CC0D14" w:rsidRPr="0086360E" w:rsidRDefault="00CC0D14" w:rsidP="00814DF3">
            <w:pPr>
              <w:spacing w:after="240" w:line="240" w:lineRule="auto"/>
              <w:jc w:val="right"/>
              <w:rPr>
                <w:rFonts w:cs="Times New Roman"/>
                <w:szCs w:val="24"/>
              </w:rPr>
            </w:pPr>
            <w:r w:rsidRPr="0086360E">
              <w:rPr>
                <w:rFonts w:cs="Times New Roman"/>
                <w:szCs w:val="24"/>
              </w:rPr>
              <w:t>60.984</w:t>
            </w:r>
            <w:r w:rsidRPr="0086360E">
              <w:rPr>
                <w:rFonts w:cs="Times New Roman"/>
                <w:szCs w:val="24"/>
                <w:vertAlign w:val="superscript"/>
              </w:rPr>
              <w:t>a</w:t>
            </w:r>
          </w:p>
        </w:tc>
        <w:tc>
          <w:tcPr>
            <w:tcW w:w="630" w:type="dxa"/>
            <w:gridSpan w:val="2"/>
            <w:tcBorders>
              <w:top w:val="single" w:sz="8" w:space="0" w:color="AEAEAE"/>
              <w:left w:val="single" w:sz="8" w:space="0" w:color="E0E0E0"/>
              <w:bottom w:val="single" w:sz="8" w:space="0" w:color="AEAEAE"/>
              <w:right w:val="single" w:sz="8" w:space="0" w:color="E0E0E0"/>
            </w:tcBorders>
            <w:shd w:val="clear" w:color="auto" w:fill="FFFFFF"/>
            <w:vAlign w:val="center"/>
          </w:tcPr>
          <w:p w14:paraId="065E7B2C" w14:textId="77777777" w:rsidR="00CC0D14" w:rsidRPr="0086360E" w:rsidRDefault="00CC0D14" w:rsidP="00814DF3">
            <w:pPr>
              <w:spacing w:after="240" w:line="240" w:lineRule="auto"/>
              <w:jc w:val="right"/>
              <w:rPr>
                <w:rFonts w:cs="Times New Roman"/>
                <w:szCs w:val="24"/>
              </w:rPr>
            </w:pPr>
            <w:r w:rsidRPr="0086360E">
              <w:rPr>
                <w:rFonts w:cs="Times New Roman"/>
                <w:szCs w:val="24"/>
              </w:rPr>
              <w:t>15</w:t>
            </w:r>
          </w:p>
        </w:tc>
        <w:tc>
          <w:tcPr>
            <w:tcW w:w="1080" w:type="dxa"/>
            <w:gridSpan w:val="2"/>
            <w:tcBorders>
              <w:top w:val="single" w:sz="8" w:space="0" w:color="AEAEAE"/>
              <w:left w:val="single" w:sz="8" w:space="0" w:color="E0E0E0"/>
              <w:bottom w:val="single" w:sz="8" w:space="0" w:color="AEAEAE"/>
              <w:right w:val="single" w:sz="8" w:space="0" w:color="E0E0E0"/>
            </w:tcBorders>
            <w:shd w:val="clear" w:color="auto" w:fill="FFFFFF"/>
          </w:tcPr>
          <w:p w14:paraId="71A80001" w14:textId="77777777" w:rsidR="00CC0D14" w:rsidRPr="0086360E" w:rsidRDefault="00CC0D14" w:rsidP="00814DF3">
            <w:pPr>
              <w:spacing w:after="240" w:line="240" w:lineRule="auto"/>
              <w:jc w:val="right"/>
              <w:rPr>
                <w:rFonts w:cs="Times New Roman"/>
                <w:szCs w:val="24"/>
              </w:rPr>
            </w:pPr>
            <w:r w:rsidRPr="0086360E">
              <w:rPr>
                <w:rFonts w:cs="Times New Roman"/>
                <w:szCs w:val="24"/>
              </w:rPr>
              <w:t>4.066</w:t>
            </w:r>
          </w:p>
        </w:tc>
        <w:tc>
          <w:tcPr>
            <w:tcW w:w="1080" w:type="dxa"/>
            <w:gridSpan w:val="2"/>
            <w:tcBorders>
              <w:top w:val="single" w:sz="8" w:space="0" w:color="AEAEAE"/>
              <w:left w:val="single" w:sz="8" w:space="0" w:color="E0E0E0"/>
              <w:bottom w:val="single" w:sz="8" w:space="0" w:color="AEAEAE"/>
              <w:right w:val="single" w:sz="8" w:space="0" w:color="E0E0E0"/>
            </w:tcBorders>
            <w:shd w:val="clear" w:color="auto" w:fill="FFFFFF"/>
          </w:tcPr>
          <w:p w14:paraId="551508F8" w14:textId="77777777" w:rsidR="00CC0D14" w:rsidRPr="0086360E" w:rsidRDefault="00CC0D14" w:rsidP="00814DF3">
            <w:pPr>
              <w:spacing w:after="240" w:line="240" w:lineRule="auto"/>
              <w:jc w:val="right"/>
              <w:rPr>
                <w:rFonts w:cs="Times New Roman"/>
                <w:szCs w:val="24"/>
              </w:rPr>
            </w:pPr>
            <w:r w:rsidRPr="0086360E">
              <w:rPr>
                <w:rFonts w:cs="Times New Roman"/>
                <w:szCs w:val="24"/>
              </w:rPr>
              <w:t>141.725</w:t>
            </w:r>
          </w:p>
        </w:tc>
        <w:tc>
          <w:tcPr>
            <w:tcW w:w="990" w:type="dxa"/>
            <w:tcBorders>
              <w:top w:val="single" w:sz="8" w:space="0" w:color="AEAEAE"/>
              <w:left w:val="single" w:sz="8" w:space="0" w:color="E0E0E0"/>
              <w:bottom w:val="single" w:sz="8" w:space="0" w:color="AEAEAE"/>
              <w:right w:val="nil"/>
            </w:tcBorders>
            <w:shd w:val="clear" w:color="auto" w:fill="FFFFFF"/>
          </w:tcPr>
          <w:p w14:paraId="2305ED6F" w14:textId="77777777" w:rsidR="00CC0D14" w:rsidRPr="0086360E" w:rsidRDefault="00CC0D14" w:rsidP="00814DF3">
            <w:pPr>
              <w:spacing w:after="240" w:line="240" w:lineRule="auto"/>
              <w:jc w:val="right"/>
              <w:rPr>
                <w:rFonts w:cs="Times New Roman"/>
                <w:szCs w:val="24"/>
              </w:rPr>
            </w:pPr>
            <w:r w:rsidRPr="0086360E">
              <w:rPr>
                <w:rFonts w:cs="Times New Roman"/>
                <w:szCs w:val="24"/>
              </w:rPr>
              <w:t>.000</w:t>
            </w:r>
          </w:p>
        </w:tc>
      </w:tr>
      <w:tr w:rsidR="00CC0D14" w:rsidRPr="0086360E" w14:paraId="6D620A49" w14:textId="77777777" w:rsidTr="00814DF3">
        <w:trPr>
          <w:gridAfter w:val="1"/>
          <w:wAfter w:w="41" w:type="dxa"/>
          <w:cantSplit/>
        </w:trPr>
        <w:tc>
          <w:tcPr>
            <w:tcW w:w="1080" w:type="dxa"/>
            <w:vMerge/>
            <w:tcBorders>
              <w:top w:val="single" w:sz="8" w:space="0" w:color="AEAEAE"/>
              <w:left w:val="nil"/>
              <w:bottom w:val="single" w:sz="4" w:space="0" w:color="auto"/>
              <w:right w:val="nil"/>
            </w:tcBorders>
            <w:shd w:val="clear" w:color="auto" w:fill="E0E0E0"/>
            <w:vAlign w:val="center"/>
          </w:tcPr>
          <w:p w14:paraId="047B8458" w14:textId="77777777" w:rsidR="00CC0D14" w:rsidRPr="0086360E" w:rsidRDefault="00CC0D14" w:rsidP="00814DF3">
            <w:pPr>
              <w:spacing w:after="240" w:line="240" w:lineRule="auto"/>
              <w:jc w:val="right"/>
              <w:rPr>
                <w:rFonts w:cs="Times New Roman"/>
                <w:szCs w:val="24"/>
              </w:rPr>
            </w:pPr>
          </w:p>
        </w:tc>
        <w:tc>
          <w:tcPr>
            <w:tcW w:w="2430" w:type="dxa"/>
            <w:gridSpan w:val="2"/>
            <w:tcBorders>
              <w:top w:val="single" w:sz="8" w:space="0" w:color="AEAEAE"/>
              <w:left w:val="nil"/>
              <w:bottom w:val="single" w:sz="8" w:space="0" w:color="AEAEAE"/>
              <w:right w:val="nil"/>
            </w:tcBorders>
            <w:shd w:val="clear" w:color="auto" w:fill="E0E0E0"/>
            <w:vAlign w:val="center"/>
          </w:tcPr>
          <w:p w14:paraId="1190D354" w14:textId="77777777" w:rsidR="00CC0D14" w:rsidRPr="0086360E" w:rsidRDefault="00CC0D14" w:rsidP="00814DF3">
            <w:pPr>
              <w:spacing w:after="240" w:line="240" w:lineRule="auto"/>
              <w:rPr>
                <w:rFonts w:cs="Times New Roman"/>
                <w:szCs w:val="24"/>
              </w:rPr>
            </w:pPr>
            <w:r w:rsidRPr="0086360E">
              <w:rPr>
                <w:rFonts w:cs="Times New Roman"/>
                <w:szCs w:val="24"/>
              </w:rPr>
              <w:t>Market Competitiveness</w:t>
            </w:r>
          </w:p>
        </w:tc>
        <w:tc>
          <w:tcPr>
            <w:tcW w:w="1440" w:type="dxa"/>
            <w:gridSpan w:val="2"/>
            <w:tcBorders>
              <w:top w:val="single" w:sz="8" w:space="0" w:color="AEAEAE"/>
              <w:left w:val="nil"/>
              <w:bottom w:val="single" w:sz="8" w:space="0" w:color="AEAEAE"/>
              <w:right w:val="single" w:sz="8" w:space="0" w:color="E0E0E0"/>
            </w:tcBorders>
            <w:shd w:val="clear" w:color="auto" w:fill="FFFFFF"/>
          </w:tcPr>
          <w:p w14:paraId="7C07E932" w14:textId="77777777" w:rsidR="00CC0D14" w:rsidRPr="0086360E" w:rsidRDefault="00CC0D14" w:rsidP="00814DF3">
            <w:pPr>
              <w:spacing w:after="240" w:line="240" w:lineRule="auto"/>
              <w:jc w:val="right"/>
              <w:rPr>
                <w:rFonts w:cs="Times New Roman"/>
                <w:szCs w:val="24"/>
              </w:rPr>
            </w:pPr>
            <w:r w:rsidRPr="0086360E">
              <w:rPr>
                <w:rFonts w:cs="Times New Roman"/>
                <w:szCs w:val="24"/>
              </w:rPr>
              <w:t>95.802</w:t>
            </w:r>
            <w:r w:rsidRPr="0086360E">
              <w:rPr>
                <w:rFonts w:cs="Times New Roman"/>
                <w:szCs w:val="24"/>
                <w:vertAlign w:val="superscript"/>
              </w:rPr>
              <w:t>b</w:t>
            </w:r>
          </w:p>
        </w:tc>
        <w:tc>
          <w:tcPr>
            <w:tcW w:w="630" w:type="dxa"/>
            <w:gridSpan w:val="2"/>
            <w:tcBorders>
              <w:top w:val="single" w:sz="8" w:space="0" w:color="AEAEAE"/>
              <w:left w:val="single" w:sz="8" w:space="0" w:color="E0E0E0"/>
              <w:bottom w:val="single" w:sz="8" w:space="0" w:color="AEAEAE"/>
              <w:right w:val="single" w:sz="8" w:space="0" w:color="E0E0E0"/>
            </w:tcBorders>
            <w:shd w:val="clear" w:color="auto" w:fill="FFFFFF"/>
          </w:tcPr>
          <w:p w14:paraId="568A1F65" w14:textId="77777777" w:rsidR="00CC0D14" w:rsidRPr="0086360E" w:rsidRDefault="00CC0D14" w:rsidP="00814DF3">
            <w:pPr>
              <w:spacing w:after="240" w:line="240" w:lineRule="auto"/>
              <w:jc w:val="right"/>
              <w:rPr>
                <w:rFonts w:cs="Times New Roman"/>
                <w:szCs w:val="24"/>
              </w:rPr>
            </w:pPr>
            <w:r w:rsidRPr="0086360E">
              <w:rPr>
                <w:rFonts w:cs="Times New Roman"/>
                <w:szCs w:val="24"/>
              </w:rPr>
              <w:t>15</w:t>
            </w:r>
          </w:p>
        </w:tc>
        <w:tc>
          <w:tcPr>
            <w:tcW w:w="1080" w:type="dxa"/>
            <w:gridSpan w:val="2"/>
            <w:tcBorders>
              <w:top w:val="single" w:sz="8" w:space="0" w:color="AEAEAE"/>
              <w:left w:val="single" w:sz="8" w:space="0" w:color="E0E0E0"/>
              <w:bottom w:val="single" w:sz="8" w:space="0" w:color="AEAEAE"/>
              <w:right w:val="single" w:sz="8" w:space="0" w:color="E0E0E0"/>
            </w:tcBorders>
            <w:shd w:val="clear" w:color="auto" w:fill="FFFFFF"/>
          </w:tcPr>
          <w:p w14:paraId="0BE345D4" w14:textId="77777777" w:rsidR="00CC0D14" w:rsidRPr="0086360E" w:rsidRDefault="00CC0D14" w:rsidP="00814DF3">
            <w:pPr>
              <w:spacing w:after="240" w:line="240" w:lineRule="auto"/>
              <w:jc w:val="right"/>
              <w:rPr>
                <w:rFonts w:cs="Times New Roman"/>
                <w:szCs w:val="24"/>
              </w:rPr>
            </w:pPr>
            <w:r w:rsidRPr="0086360E">
              <w:rPr>
                <w:rFonts w:cs="Times New Roman"/>
                <w:szCs w:val="24"/>
              </w:rPr>
              <w:t>6.387</w:t>
            </w:r>
          </w:p>
        </w:tc>
        <w:tc>
          <w:tcPr>
            <w:tcW w:w="1080" w:type="dxa"/>
            <w:gridSpan w:val="2"/>
            <w:tcBorders>
              <w:top w:val="single" w:sz="8" w:space="0" w:color="AEAEAE"/>
              <w:left w:val="single" w:sz="8" w:space="0" w:color="E0E0E0"/>
              <w:bottom w:val="single" w:sz="8" w:space="0" w:color="AEAEAE"/>
              <w:right w:val="single" w:sz="8" w:space="0" w:color="E0E0E0"/>
            </w:tcBorders>
            <w:shd w:val="clear" w:color="auto" w:fill="FFFFFF"/>
          </w:tcPr>
          <w:p w14:paraId="28FA8B37" w14:textId="77777777" w:rsidR="00CC0D14" w:rsidRPr="0086360E" w:rsidRDefault="00CC0D14" w:rsidP="00814DF3">
            <w:pPr>
              <w:spacing w:after="240" w:line="240" w:lineRule="auto"/>
              <w:jc w:val="right"/>
              <w:rPr>
                <w:rFonts w:cs="Times New Roman"/>
                <w:szCs w:val="24"/>
              </w:rPr>
            </w:pPr>
            <w:r w:rsidRPr="0086360E">
              <w:rPr>
                <w:rFonts w:cs="Times New Roman"/>
                <w:szCs w:val="24"/>
              </w:rPr>
              <w:t>164.882</w:t>
            </w:r>
          </w:p>
        </w:tc>
        <w:tc>
          <w:tcPr>
            <w:tcW w:w="990" w:type="dxa"/>
            <w:tcBorders>
              <w:top w:val="single" w:sz="8" w:space="0" w:color="AEAEAE"/>
              <w:left w:val="single" w:sz="8" w:space="0" w:color="E0E0E0"/>
              <w:bottom w:val="single" w:sz="8" w:space="0" w:color="AEAEAE"/>
              <w:right w:val="nil"/>
            </w:tcBorders>
            <w:shd w:val="clear" w:color="auto" w:fill="FFFFFF"/>
          </w:tcPr>
          <w:p w14:paraId="2EBB9579" w14:textId="77777777" w:rsidR="00CC0D14" w:rsidRPr="0086360E" w:rsidRDefault="00CC0D14" w:rsidP="00814DF3">
            <w:pPr>
              <w:spacing w:after="240" w:line="240" w:lineRule="auto"/>
              <w:jc w:val="right"/>
              <w:rPr>
                <w:rFonts w:cs="Times New Roman"/>
                <w:szCs w:val="24"/>
              </w:rPr>
            </w:pPr>
            <w:r w:rsidRPr="0086360E">
              <w:rPr>
                <w:rFonts w:cs="Times New Roman"/>
                <w:szCs w:val="24"/>
              </w:rPr>
              <w:t>.000</w:t>
            </w:r>
          </w:p>
        </w:tc>
      </w:tr>
      <w:tr w:rsidR="00CC0D14" w:rsidRPr="0086360E" w14:paraId="316A08D0" w14:textId="77777777" w:rsidTr="00814DF3">
        <w:trPr>
          <w:gridAfter w:val="1"/>
          <w:wAfter w:w="41" w:type="dxa"/>
          <w:cantSplit/>
        </w:trPr>
        <w:tc>
          <w:tcPr>
            <w:tcW w:w="1080" w:type="dxa"/>
            <w:vMerge/>
            <w:tcBorders>
              <w:top w:val="single" w:sz="8" w:space="0" w:color="AEAEAE"/>
              <w:left w:val="nil"/>
              <w:bottom w:val="single" w:sz="4" w:space="0" w:color="auto"/>
              <w:right w:val="nil"/>
            </w:tcBorders>
            <w:shd w:val="clear" w:color="auto" w:fill="E0E0E0"/>
            <w:vAlign w:val="center"/>
          </w:tcPr>
          <w:p w14:paraId="65318FB9" w14:textId="77777777" w:rsidR="00CC0D14" w:rsidRPr="0086360E" w:rsidRDefault="00CC0D14" w:rsidP="00814DF3">
            <w:pPr>
              <w:spacing w:after="240" w:line="240" w:lineRule="auto"/>
              <w:jc w:val="right"/>
              <w:rPr>
                <w:rFonts w:cs="Times New Roman"/>
                <w:szCs w:val="24"/>
              </w:rPr>
            </w:pPr>
          </w:p>
        </w:tc>
        <w:tc>
          <w:tcPr>
            <w:tcW w:w="2430" w:type="dxa"/>
            <w:gridSpan w:val="2"/>
            <w:tcBorders>
              <w:top w:val="single" w:sz="8" w:space="0" w:color="AEAEAE"/>
              <w:left w:val="nil"/>
              <w:bottom w:val="single" w:sz="4" w:space="0" w:color="auto"/>
              <w:right w:val="nil"/>
            </w:tcBorders>
            <w:shd w:val="clear" w:color="auto" w:fill="E0E0E0"/>
            <w:vAlign w:val="center"/>
          </w:tcPr>
          <w:p w14:paraId="39639A21" w14:textId="77777777" w:rsidR="00CC0D14" w:rsidRPr="0086360E" w:rsidRDefault="00CC0D14" w:rsidP="00814DF3">
            <w:pPr>
              <w:spacing w:after="240" w:line="240" w:lineRule="auto"/>
              <w:rPr>
                <w:rFonts w:cs="Times New Roman"/>
                <w:szCs w:val="24"/>
              </w:rPr>
            </w:pPr>
            <w:r w:rsidRPr="0086360E">
              <w:rPr>
                <w:rFonts w:cs="Times New Roman"/>
                <w:szCs w:val="24"/>
              </w:rPr>
              <w:t>Operational Efficiency</w:t>
            </w:r>
          </w:p>
        </w:tc>
        <w:tc>
          <w:tcPr>
            <w:tcW w:w="1440" w:type="dxa"/>
            <w:gridSpan w:val="2"/>
            <w:tcBorders>
              <w:top w:val="single" w:sz="8" w:space="0" w:color="AEAEAE"/>
              <w:left w:val="nil"/>
              <w:bottom w:val="single" w:sz="4" w:space="0" w:color="auto"/>
              <w:right w:val="single" w:sz="8" w:space="0" w:color="E0E0E0"/>
            </w:tcBorders>
            <w:shd w:val="clear" w:color="auto" w:fill="FFFFFF"/>
          </w:tcPr>
          <w:p w14:paraId="3D1CA95F" w14:textId="77777777" w:rsidR="00CC0D14" w:rsidRPr="0086360E" w:rsidRDefault="00CC0D14" w:rsidP="00814DF3">
            <w:pPr>
              <w:spacing w:after="240" w:line="240" w:lineRule="auto"/>
              <w:jc w:val="right"/>
              <w:rPr>
                <w:rFonts w:cs="Times New Roman"/>
                <w:szCs w:val="24"/>
              </w:rPr>
            </w:pPr>
            <w:r w:rsidRPr="0086360E">
              <w:rPr>
                <w:rFonts w:cs="Times New Roman"/>
                <w:szCs w:val="24"/>
              </w:rPr>
              <w:t>67.721</w:t>
            </w:r>
            <w:r w:rsidRPr="0086360E">
              <w:rPr>
                <w:rFonts w:cs="Times New Roman"/>
                <w:szCs w:val="24"/>
                <w:vertAlign w:val="superscript"/>
              </w:rPr>
              <w:t>c</w:t>
            </w:r>
          </w:p>
        </w:tc>
        <w:tc>
          <w:tcPr>
            <w:tcW w:w="630" w:type="dxa"/>
            <w:gridSpan w:val="2"/>
            <w:tcBorders>
              <w:top w:val="single" w:sz="8" w:space="0" w:color="AEAEAE"/>
              <w:left w:val="single" w:sz="8" w:space="0" w:color="E0E0E0"/>
              <w:bottom w:val="single" w:sz="4" w:space="0" w:color="auto"/>
              <w:right w:val="single" w:sz="8" w:space="0" w:color="E0E0E0"/>
            </w:tcBorders>
            <w:shd w:val="clear" w:color="auto" w:fill="FFFFFF"/>
          </w:tcPr>
          <w:p w14:paraId="0F9A82FF" w14:textId="77777777" w:rsidR="00CC0D14" w:rsidRPr="0086360E" w:rsidRDefault="00CC0D14" w:rsidP="00814DF3">
            <w:pPr>
              <w:spacing w:after="240" w:line="240" w:lineRule="auto"/>
              <w:jc w:val="right"/>
              <w:rPr>
                <w:rFonts w:cs="Times New Roman"/>
                <w:szCs w:val="24"/>
              </w:rPr>
            </w:pPr>
            <w:r w:rsidRPr="0086360E">
              <w:rPr>
                <w:rFonts w:cs="Times New Roman"/>
                <w:szCs w:val="24"/>
              </w:rPr>
              <w:t>15</w:t>
            </w:r>
          </w:p>
        </w:tc>
        <w:tc>
          <w:tcPr>
            <w:tcW w:w="1080" w:type="dxa"/>
            <w:gridSpan w:val="2"/>
            <w:tcBorders>
              <w:top w:val="single" w:sz="8" w:space="0" w:color="AEAEAE"/>
              <w:left w:val="single" w:sz="8" w:space="0" w:color="E0E0E0"/>
              <w:bottom w:val="single" w:sz="4" w:space="0" w:color="auto"/>
              <w:right w:val="single" w:sz="8" w:space="0" w:color="E0E0E0"/>
            </w:tcBorders>
            <w:shd w:val="clear" w:color="auto" w:fill="FFFFFF"/>
          </w:tcPr>
          <w:p w14:paraId="35A0302D" w14:textId="77777777" w:rsidR="00CC0D14" w:rsidRPr="0086360E" w:rsidRDefault="00CC0D14" w:rsidP="00814DF3">
            <w:pPr>
              <w:spacing w:after="240" w:line="240" w:lineRule="auto"/>
              <w:jc w:val="right"/>
              <w:rPr>
                <w:rFonts w:cs="Times New Roman"/>
                <w:szCs w:val="24"/>
              </w:rPr>
            </w:pPr>
            <w:r w:rsidRPr="0086360E">
              <w:rPr>
                <w:rFonts w:cs="Times New Roman"/>
                <w:szCs w:val="24"/>
              </w:rPr>
              <w:t>4.515</w:t>
            </w:r>
          </w:p>
        </w:tc>
        <w:tc>
          <w:tcPr>
            <w:tcW w:w="1080" w:type="dxa"/>
            <w:gridSpan w:val="2"/>
            <w:tcBorders>
              <w:top w:val="single" w:sz="8" w:space="0" w:color="AEAEAE"/>
              <w:left w:val="single" w:sz="8" w:space="0" w:color="E0E0E0"/>
              <w:bottom w:val="single" w:sz="4" w:space="0" w:color="auto"/>
              <w:right w:val="single" w:sz="8" w:space="0" w:color="E0E0E0"/>
            </w:tcBorders>
            <w:shd w:val="clear" w:color="auto" w:fill="FFFFFF"/>
          </w:tcPr>
          <w:p w14:paraId="5D650962" w14:textId="77777777" w:rsidR="00CC0D14" w:rsidRPr="0086360E" w:rsidRDefault="00CC0D14" w:rsidP="00814DF3">
            <w:pPr>
              <w:spacing w:after="240" w:line="240" w:lineRule="auto"/>
              <w:jc w:val="right"/>
              <w:rPr>
                <w:rFonts w:cs="Times New Roman"/>
                <w:szCs w:val="24"/>
              </w:rPr>
            </w:pPr>
            <w:r w:rsidRPr="0086360E">
              <w:rPr>
                <w:rFonts w:cs="Times New Roman"/>
                <w:szCs w:val="24"/>
              </w:rPr>
              <w:t>167.746</w:t>
            </w:r>
          </w:p>
        </w:tc>
        <w:tc>
          <w:tcPr>
            <w:tcW w:w="990" w:type="dxa"/>
            <w:tcBorders>
              <w:top w:val="single" w:sz="8" w:space="0" w:color="AEAEAE"/>
              <w:left w:val="single" w:sz="8" w:space="0" w:color="E0E0E0"/>
              <w:bottom w:val="single" w:sz="4" w:space="0" w:color="auto"/>
              <w:right w:val="nil"/>
            </w:tcBorders>
            <w:shd w:val="clear" w:color="auto" w:fill="FFFFFF"/>
          </w:tcPr>
          <w:p w14:paraId="0825E90B" w14:textId="77777777" w:rsidR="00CC0D14" w:rsidRPr="0086360E" w:rsidRDefault="00CC0D14" w:rsidP="00814DF3">
            <w:pPr>
              <w:spacing w:after="240" w:line="240" w:lineRule="auto"/>
              <w:jc w:val="right"/>
              <w:rPr>
                <w:rFonts w:cs="Times New Roman"/>
                <w:szCs w:val="24"/>
              </w:rPr>
            </w:pPr>
            <w:r w:rsidRPr="0086360E">
              <w:rPr>
                <w:rFonts w:cs="Times New Roman"/>
                <w:szCs w:val="24"/>
              </w:rPr>
              <w:t>.000</w:t>
            </w:r>
          </w:p>
        </w:tc>
      </w:tr>
      <w:tr w:rsidR="00CC0D14" w:rsidRPr="0086360E" w14:paraId="0E28C3CB" w14:textId="77777777" w:rsidTr="00814DF3">
        <w:trPr>
          <w:gridAfter w:val="1"/>
          <w:wAfter w:w="41" w:type="dxa"/>
          <w:cantSplit/>
        </w:trPr>
        <w:tc>
          <w:tcPr>
            <w:tcW w:w="8730" w:type="dxa"/>
            <w:gridSpan w:val="12"/>
            <w:tcBorders>
              <w:top w:val="nil"/>
              <w:left w:val="nil"/>
              <w:bottom w:val="nil"/>
              <w:right w:val="nil"/>
            </w:tcBorders>
            <w:shd w:val="clear" w:color="auto" w:fill="FFFFFF"/>
          </w:tcPr>
          <w:p w14:paraId="4BE0E7C8" w14:textId="77777777" w:rsidR="00CC0D14" w:rsidRPr="0086360E" w:rsidRDefault="00CC0D14" w:rsidP="00814DF3">
            <w:pPr>
              <w:spacing w:line="240" w:lineRule="auto"/>
              <w:rPr>
                <w:rFonts w:cs="Times New Roman"/>
                <w:szCs w:val="24"/>
              </w:rPr>
            </w:pPr>
            <w:r w:rsidRPr="0086360E">
              <w:rPr>
                <w:rFonts w:cs="Times New Roman"/>
                <w:szCs w:val="24"/>
              </w:rPr>
              <w:lastRenderedPageBreak/>
              <w:t>a. R Squared = 711 (Adjusted R Squared = .506)</w:t>
            </w:r>
          </w:p>
        </w:tc>
      </w:tr>
      <w:tr w:rsidR="00CC0D14" w:rsidRPr="0086360E" w14:paraId="1393D768" w14:textId="77777777" w:rsidTr="00814DF3">
        <w:trPr>
          <w:gridAfter w:val="1"/>
          <w:wAfter w:w="41" w:type="dxa"/>
          <w:cantSplit/>
        </w:trPr>
        <w:tc>
          <w:tcPr>
            <w:tcW w:w="8730" w:type="dxa"/>
            <w:gridSpan w:val="12"/>
            <w:tcBorders>
              <w:top w:val="nil"/>
              <w:left w:val="nil"/>
              <w:bottom w:val="nil"/>
              <w:right w:val="nil"/>
            </w:tcBorders>
            <w:shd w:val="clear" w:color="auto" w:fill="FFFFFF"/>
          </w:tcPr>
          <w:p w14:paraId="4CEBF7F2" w14:textId="77777777" w:rsidR="00CC0D14" w:rsidRPr="0086360E" w:rsidRDefault="00CC0D14" w:rsidP="00814DF3">
            <w:pPr>
              <w:spacing w:line="240" w:lineRule="auto"/>
              <w:rPr>
                <w:rFonts w:cs="Times New Roman"/>
                <w:szCs w:val="24"/>
              </w:rPr>
            </w:pPr>
            <w:r w:rsidRPr="0086360E">
              <w:rPr>
                <w:rFonts w:cs="Times New Roman"/>
                <w:szCs w:val="24"/>
              </w:rPr>
              <w:t>b. R Squared = .783 (Adjusted R Squared = .613)</w:t>
            </w:r>
          </w:p>
        </w:tc>
      </w:tr>
      <w:tr w:rsidR="00CC0D14" w:rsidRPr="0086360E" w14:paraId="17FBC761" w14:textId="77777777" w:rsidTr="00814DF3">
        <w:trPr>
          <w:gridAfter w:val="1"/>
          <w:wAfter w:w="41" w:type="dxa"/>
          <w:cantSplit/>
        </w:trPr>
        <w:tc>
          <w:tcPr>
            <w:tcW w:w="8730" w:type="dxa"/>
            <w:gridSpan w:val="12"/>
            <w:tcBorders>
              <w:top w:val="nil"/>
              <w:left w:val="nil"/>
              <w:bottom w:val="single" w:sz="4" w:space="0" w:color="auto"/>
              <w:right w:val="nil"/>
            </w:tcBorders>
            <w:shd w:val="clear" w:color="auto" w:fill="FFFFFF"/>
          </w:tcPr>
          <w:p w14:paraId="29BB781D" w14:textId="77777777" w:rsidR="00CC0D14" w:rsidRPr="0086360E" w:rsidRDefault="00CC0D14" w:rsidP="00814DF3">
            <w:pPr>
              <w:spacing w:line="240" w:lineRule="auto"/>
              <w:rPr>
                <w:rFonts w:cs="Times New Roman"/>
                <w:szCs w:val="24"/>
              </w:rPr>
            </w:pPr>
            <w:r w:rsidRPr="0086360E">
              <w:rPr>
                <w:rFonts w:cs="Times New Roman"/>
                <w:szCs w:val="24"/>
              </w:rPr>
              <w:t>c. R Squared = .694 (Adjusted R Squared = .482)</w:t>
            </w:r>
          </w:p>
        </w:tc>
      </w:tr>
    </w:tbl>
    <w:p w14:paraId="311C9BB9" w14:textId="77777777" w:rsidR="00CC0D14" w:rsidRPr="0086360E" w:rsidRDefault="00CC0D14" w:rsidP="00CC0D14">
      <w:pPr>
        <w:spacing w:line="240" w:lineRule="auto"/>
        <w:rPr>
          <w:rFonts w:cs="Times New Roman"/>
          <w:b/>
          <w:bCs/>
          <w:i/>
          <w:iCs/>
          <w:szCs w:val="24"/>
        </w:rPr>
      </w:pPr>
      <w:r w:rsidRPr="0086360E">
        <w:rPr>
          <w:rFonts w:cs="Times New Roman"/>
          <w:b/>
          <w:bCs/>
          <w:i/>
          <w:iCs/>
          <w:szCs w:val="24"/>
        </w:rPr>
        <w:t>Source: SPSS V25 MANOVA Output</w:t>
      </w:r>
    </w:p>
    <w:p w14:paraId="318EC6A0" w14:textId="77777777" w:rsidR="00CC0D14" w:rsidRPr="0086360E" w:rsidRDefault="00CC0D14" w:rsidP="00CC0D14">
      <w:pPr>
        <w:pStyle w:val="Heading2"/>
        <w:rPr>
          <w:rFonts w:cs="Times New Roman"/>
          <w:sz w:val="24"/>
          <w:szCs w:val="24"/>
        </w:rPr>
      </w:pPr>
      <w:bookmarkStart w:id="4" w:name="_Toc213387145"/>
      <w:r w:rsidRPr="0086360E">
        <w:rPr>
          <w:rFonts w:cs="Times New Roman"/>
          <w:sz w:val="24"/>
          <w:szCs w:val="24"/>
        </w:rPr>
        <w:t xml:space="preserve">Discussion of </w:t>
      </w:r>
      <w:bookmarkEnd w:id="4"/>
      <w:r w:rsidRPr="0086360E">
        <w:rPr>
          <w:rFonts w:cs="Times New Roman"/>
          <w:sz w:val="24"/>
          <w:szCs w:val="24"/>
        </w:rPr>
        <w:t>Findings</w:t>
      </w:r>
    </w:p>
    <w:p w14:paraId="4D66A75D" w14:textId="77777777" w:rsidR="00CC0D14" w:rsidRPr="0086360E" w:rsidRDefault="00CC0D14" w:rsidP="00CC0D14">
      <w:pPr>
        <w:spacing w:line="240" w:lineRule="auto"/>
        <w:rPr>
          <w:rFonts w:cs="Times New Roman"/>
          <w:szCs w:val="24"/>
        </w:rPr>
      </w:pPr>
      <w:r w:rsidRPr="0086360E">
        <w:rPr>
          <w:rFonts w:cs="Times New Roman"/>
          <w:szCs w:val="24"/>
        </w:rPr>
        <w:t xml:space="preserve">The MANOVA results (Table 3) show that trust has a statistically significant multivariate effect on the combined performance indicators (Wilks’ Λ = .323, </w:t>
      </w:r>
      <w:proofErr w:type="gramStart"/>
      <w:r w:rsidRPr="0086360E">
        <w:rPr>
          <w:rFonts w:cs="Times New Roman"/>
          <w:szCs w:val="24"/>
        </w:rPr>
        <w:t>F(</w:t>
      </w:r>
      <w:proofErr w:type="gramEnd"/>
      <w:r w:rsidRPr="0086360E">
        <w:rPr>
          <w:rFonts w:cs="Times New Roman"/>
          <w:szCs w:val="24"/>
        </w:rPr>
        <w:t>36, 1158.94) = 15.886, p = .029). In follow-up univariate tests, trust significantly predicted customer satisfaction (F = 11.036, p = .034), market competitiveness (F = 16.673, p = .026) and operational efficiency (F = 22.005, p = .003), with large R² values indicating substantive explained variance. These findings indicate that higher levels of perceived bank trustworthiness are associated with better customer outcomes and stronger organizational performance. These findings align with recent empirical evidence linking trust in banks to greater customer satisfaction, loyalty and improved service outcomes (Cardoso et al., 2024; Kumar, 2023). Social Exchange Theory (SET) helps explain this pattern: when customers perceive fairness, reliability and integrity from a bank, reciprocal behaviours (repeat business, positive word-of-mouth, cooperative interactions) follow, producing measurable performance gains (</w:t>
      </w:r>
      <w:proofErr w:type="spellStart"/>
      <w:r w:rsidRPr="0086360E">
        <w:rPr>
          <w:rFonts w:cs="Times New Roman"/>
          <w:szCs w:val="24"/>
        </w:rPr>
        <w:t>Cropanzano</w:t>
      </w:r>
      <w:proofErr w:type="spellEnd"/>
      <w:r w:rsidRPr="0086360E">
        <w:rPr>
          <w:rFonts w:cs="Times New Roman"/>
          <w:szCs w:val="24"/>
        </w:rPr>
        <w:t xml:space="preserve"> &amp; Mitchell, 2005). Similarly, cross-country and sector studies have shown that institutional trust reduces transactional friction and supports improved operational metrics in financial institutions (Abdelsalam et al., 2024). Where the present study shows relatively large R² values, alignment with these studies is likely driven by (a) robust measurement of trust across several questionnaire items, (b) the sample size (n = 407) which provides stable estimates, and (c) the banking context in Lagos where trust is a salient determinant of customer behaviour. If some previous studies report smaller effects, possible reasons include differences in trust operationalization (e.g., trust in mobile channels versus overall organizational trust), sample composition, or regulatory/contextual factors that moderate how trust translates into competitive advantage (Kumar, 2023).</w:t>
      </w:r>
    </w:p>
    <w:p w14:paraId="762F804F" w14:textId="77777777" w:rsidR="00CC0D14" w:rsidRPr="0086360E" w:rsidRDefault="00CC0D14" w:rsidP="00CC0D14">
      <w:pPr>
        <w:spacing w:line="240" w:lineRule="auto"/>
        <w:rPr>
          <w:rFonts w:cs="Times New Roman"/>
          <w:szCs w:val="24"/>
        </w:rPr>
      </w:pPr>
      <w:r w:rsidRPr="0086360E">
        <w:rPr>
          <w:rFonts w:cs="Times New Roman"/>
          <w:szCs w:val="24"/>
        </w:rPr>
        <w:t>The analysis reported in Table 3 demonstrates a strong and significant relationship between commitment and bank performance (Wilks’ Λ = .261, F = 2512.852, p &lt; .001), with follow-up tests showing highly significant univariate effects across customer satisfaction, market competitiveness and operational efficiency (all p’s = .000) and substantial R² values for each outcome. This pattern is consistent with theoretical expectations from Social Exchange Theory and organizational behaviour literature: committed employees and organizations invest discretionary effort and maintain customer-oriented practices, which improves service quality and competitive outcomes (</w:t>
      </w:r>
      <w:proofErr w:type="spellStart"/>
      <w:r w:rsidRPr="0086360E">
        <w:rPr>
          <w:rFonts w:cs="Times New Roman"/>
          <w:szCs w:val="24"/>
        </w:rPr>
        <w:t>Cropanzano</w:t>
      </w:r>
      <w:proofErr w:type="spellEnd"/>
      <w:r w:rsidRPr="0086360E">
        <w:rPr>
          <w:rFonts w:cs="Times New Roman"/>
          <w:szCs w:val="24"/>
        </w:rPr>
        <w:t xml:space="preserve"> &amp; Mitchell, 2005). From a stakeholder theory perspective, strong internal commitment signals to external stakeholders (customers, suppliers, regulators) that the bank is stable and reliable, thus supporting market position and performance (Freeman, 1984). Recent empirical work in banking and service sectors confirms the positive role of organizational/employee commitment in enhancing productivity, customer outcomes and reputation (</w:t>
      </w:r>
      <w:proofErr w:type="spellStart"/>
      <w:r w:rsidRPr="0086360E">
        <w:rPr>
          <w:rFonts w:cs="Times New Roman"/>
          <w:szCs w:val="24"/>
        </w:rPr>
        <w:t>Alnehabi</w:t>
      </w:r>
      <w:proofErr w:type="spellEnd"/>
      <w:r w:rsidRPr="0086360E">
        <w:rPr>
          <w:rFonts w:cs="Times New Roman"/>
          <w:szCs w:val="24"/>
        </w:rPr>
        <w:t xml:space="preserve">, 2025; several Nigeria-based studies and sector reports showing positive links between commitment and operational metrics). The magnitude of the effects in this study may reflect effective HR and relationship management practices in the sampled banks (e.g., training, empowerment, and customer-centric incentives) that convert commitment into measurable performance gains. Thus, the present finding both corroborates dominant empirical evidence and </w:t>
      </w:r>
      <w:r w:rsidRPr="0086360E">
        <w:rPr>
          <w:rFonts w:cs="Times New Roman"/>
          <w:szCs w:val="24"/>
        </w:rPr>
        <w:lastRenderedPageBreak/>
        <w:t xml:space="preserve">underscores the practical importance of cultivating commitment as a strategic resource in Nigerian deposit money banks. </w:t>
      </w:r>
    </w:p>
    <w:p w14:paraId="175A5BA0" w14:textId="77777777" w:rsidR="00CC0D14" w:rsidRPr="0086360E" w:rsidRDefault="00CC0D14" w:rsidP="00CC0D14">
      <w:pPr>
        <w:spacing w:line="240" w:lineRule="auto"/>
        <w:rPr>
          <w:rFonts w:cs="Times New Roman"/>
          <w:szCs w:val="24"/>
        </w:rPr>
      </w:pPr>
      <w:r w:rsidRPr="0086360E">
        <w:rPr>
          <w:rFonts w:cs="Times New Roman"/>
          <w:szCs w:val="24"/>
        </w:rPr>
        <w:t xml:space="preserve">Table 3 indicates a highly significant effect of conflict handling on the combined performance measures (Wilks’ Λ = .197, </w:t>
      </w:r>
      <w:proofErr w:type="gramStart"/>
      <w:r w:rsidRPr="0086360E">
        <w:rPr>
          <w:rFonts w:cs="Times New Roman"/>
          <w:szCs w:val="24"/>
        </w:rPr>
        <w:t>F(</w:t>
      </w:r>
      <w:proofErr w:type="gramEnd"/>
      <w:r w:rsidRPr="0086360E">
        <w:rPr>
          <w:rFonts w:cs="Times New Roman"/>
          <w:szCs w:val="24"/>
        </w:rPr>
        <w:t xml:space="preserve">3, 392.94) = 3987.401, p &lt; .001), and the univariate </w:t>
      </w:r>
      <w:r w:rsidRPr="0086360E">
        <w:rPr>
          <w:rFonts w:cs="Times New Roman"/>
          <w:szCs w:val="24"/>
          <w:lang w:val="en-US"/>
        </w:rPr>
        <w:t>M</w:t>
      </w:r>
      <w:r w:rsidRPr="0086360E">
        <w:rPr>
          <w:rFonts w:cs="Times New Roman"/>
          <w:szCs w:val="24"/>
        </w:rPr>
        <w:t>ANOVAs show conflict handling significantly predicts customer satisfaction, market competitiveness and operational efficiency (all p’s = .000) with very high R² values. These results suggest that banks which adopt effective, customer-oriented conflict resolution practices (prompt complaint handling, open communication, win–win problem solving) achieve superior performance outcomes. This finding aligns with empirical studies in Nigerian banking and related service sectors that document positive effects of conflict-management strategies on organizational outcomes such as service quality, employee retention and operational efficiency (</w:t>
      </w:r>
      <w:proofErr w:type="spellStart"/>
      <w:r w:rsidRPr="0086360E">
        <w:rPr>
          <w:rFonts w:cs="Times New Roman"/>
          <w:szCs w:val="24"/>
        </w:rPr>
        <w:t>Abomeh</w:t>
      </w:r>
      <w:proofErr w:type="spellEnd"/>
      <w:r w:rsidRPr="0086360E">
        <w:rPr>
          <w:rFonts w:cs="Times New Roman"/>
          <w:szCs w:val="24"/>
        </w:rPr>
        <w:t>, 2022; related Nigerian case studies 2020–2024). Theoretically, conflict handling can be situated within SET (effective conflict resolution rebuilds or sustains reciprocal trust and loyalty) and organizational justice (fair, transparent dispute processes enhance perceived fairness and encourage cooperative behaviours), both of which predict improved customer and organizational outcomes when conflicts are managed well (</w:t>
      </w:r>
      <w:proofErr w:type="spellStart"/>
      <w:r w:rsidRPr="0086360E">
        <w:rPr>
          <w:rFonts w:cs="Times New Roman"/>
          <w:szCs w:val="24"/>
        </w:rPr>
        <w:t>Cropanzano</w:t>
      </w:r>
      <w:proofErr w:type="spellEnd"/>
      <w:r w:rsidRPr="0086360E">
        <w:rPr>
          <w:rFonts w:cs="Times New Roman"/>
          <w:szCs w:val="24"/>
        </w:rPr>
        <w:t xml:space="preserve"> &amp; Mitchell, 2005). Moreover, empirical reviews of conflict-management interventions show consistent positive associations with performance indicators when strategies emphasize communication, timeliness and fairness/ Therefore, the present findings reinforce the practical imperative for banks to institutionalize effective complaint and conflict resolution systems as a route to higher customer satisfaction, market strength and operational gains.</w:t>
      </w:r>
    </w:p>
    <w:p w14:paraId="0079C599" w14:textId="77777777" w:rsidR="00CC0D14" w:rsidRPr="0086360E" w:rsidRDefault="00CC0D14" w:rsidP="00CC0D14">
      <w:pPr>
        <w:spacing w:line="240" w:lineRule="auto"/>
        <w:rPr>
          <w:rFonts w:cs="Times New Roman"/>
          <w:b/>
          <w:szCs w:val="24"/>
        </w:rPr>
      </w:pPr>
      <w:r w:rsidRPr="0086360E">
        <w:rPr>
          <w:rFonts w:cs="Times New Roman"/>
          <w:b/>
          <w:szCs w:val="24"/>
        </w:rPr>
        <w:t>Conclusion</w:t>
      </w:r>
    </w:p>
    <w:p w14:paraId="5A9E2219" w14:textId="77777777" w:rsidR="00CC0D14" w:rsidRPr="0086360E" w:rsidRDefault="00CC0D14" w:rsidP="00CC0D14">
      <w:pPr>
        <w:spacing w:line="240" w:lineRule="auto"/>
        <w:rPr>
          <w:rFonts w:cs="Times New Roman"/>
          <w:szCs w:val="24"/>
        </w:rPr>
      </w:pPr>
      <w:r w:rsidRPr="0086360E">
        <w:rPr>
          <w:rFonts w:cs="Times New Roman"/>
          <w:szCs w:val="24"/>
        </w:rPr>
        <w:t>The study concluded that all three constructs of relationship marketing strategy (trust, commitment, and conflict handling) significantly influence key indicators of organizational performance, including customer satisfaction, operational efficiency, and market competitiveness. Specifically, the results showed that banks that uphold trust in their relationships with customers tend to enjoy higher levels of loyalty, confidence, and service patronage. Similarly, commitment to long-term customer relationships and consistent service delivery was found to enhance competitiveness and operational excellence. Effective conflict handling also emerged as a vital predictor of performance, demonstrating that resolving customer issues fairly and promptly strengthens brand reputation and customer retention.</w:t>
      </w:r>
    </w:p>
    <w:p w14:paraId="7F8EF6AA" w14:textId="77777777" w:rsidR="00CC0D14" w:rsidRPr="0086360E" w:rsidRDefault="00CC0D14" w:rsidP="00CC0D14">
      <w:pPr>
        <w:spacing w:line="240" w:lineRule="auto"/>
        <w:rPr>
          <w:rFonts w:cs="Times New Roman"/>
          <w:b/>
          <w:szCs w:val="24"/>
        </w:rPr>
      </w:pPr>
      <w:r w:rsidRPr="0086360E">
        <w:rPr>
          <w:rFonts w:cs="Times New Roman"/>
          <w:b/>
          <w:szCs w:val="24"/>
        </w:rPr>
        <w:t>Recommendations</w:t>
      </w:r>
    </w:p>
    <w:p w14:paraId="2A99DE68" w14:textId="77777777" w:rsidR="00CC0D14" w:rsidRPr="0086360E" w:rsidRDefault="00CC0D14" w:rsidP="00CC0D14">
      <w:pPr>
        <w:spacing w:line="240" w:lineRule="auto"/>
        <w:rPr>
          <w:rFonts w:cs="Times New Roman"/>
          <w:b/>
          <w:szCs w:val="24"/>
        </w:rPr>
      </w:pPr>
      <w:r w:rsidRPr="0086360E">
        <w:rPr>
          <w:rFonts w:cs="Times New Roman"/>
          <w:szCs w:val="24"/>
        </w:rPr>
        <w:t>Banks should foster transparency and honesty in all customer interactions. This can be achieved through accurate communication, consistent service delivery, and ethical handling of customer data and finances. Regular publication of service standards and performance reports can also reinforce public confidence.</w:t>
      </w:r>
    </w:p>
    <w:p w14:paraId="6BF5FEFD" w14:textId="77777777" w:rsidR="00CC0D14" w:rsidRPr="0086360E" w:rsidRDefault="00CC0D14" w:rsidP="00CC0D14">
      <w:pPr>
        <w:spacing w:line="240" w:lineRule="auto"/>
        <w:rPr>
          <w:rFonts w:cs="Times New Roman"/>
          <w:b/>
          <w:szCs w:val="24"/>
        </w:rPr>
      </w:pPr>
      <w:r w:rsidRPr="0086360E">
        <w:rPr>
          <w:rFonts w:cs="Times New Roman"/>
          <w:szCs w:val="24"/>
        </w:rPr>
        <w:t>Staff across all levels should be trained in customer relationship management (CRM), ethical service conduct, and emotional intelligence. When employees understand how trust, empathy, and responsiveness affect long-term customer relationships, they can deliver more reliable and personalized services.</w:t>
      </w:r>
    </w:p>
    <w:p w14:paraId="57442D7D" w14:textId="77777777" w:rsidR="00CC0D14" w:rsidRPr="0086360E" w:rsidRDefault="00CC0D14" w:rsidP="00CC0D14">
      <w:pPr>
        <w:spacing w:line="240" w:lineRule="auto"/>
        <w:rPr>
          <w:rFonts w:cs="Times New Roman"/>
          <w:b/>
          <w:szCs w:val="24"/>
        </w:rPr>
      </w:pPr>
      <w:r w:rsidRPr="0086360E">
        <w:rPr>
          <w:rFonts w:cs="Times New Roman"/>
          <w:szCs w:val="24"/>
        </w:rPr>
        <w:lastRenderedPageBreak/>
        <w:t>Management should adopt policies that reward customer loyalty through incentive programs such as loyalty bonuses, referral schemes, and personalized offers. Consistent follow-ups and after-service communication can strengthen long-term customer engagement and satisfaction.</w:t>
      </w:r>
    </w:p>
    <w:p w14:paraId="6D91FEBB" w14:textId="77777777" w:rsidR="00CC0D14" w:rsidRPr="0086360E" w:rsidRDefault="00CC0D14" w:rsidP="00CC0D14">
      <w:pPr>
        <w:pStyle w:val="Heading1"/>
        <w:spacing w:after="240"/>
        <w:rPr>
          <w:sz w:val="24"/>
        </w:rPr>
      </w:pPr>
      <w:bookmarkStart w:id="5" w:name="_Toc213387153"/>
      <w:r w:rsidRPr="0086360E">
        <w:rPr>
          <w:sz w:val="24"/>
        </w:rPr>
        <w:t>REFERENCES</w:t>
      </w:r>
      <w:bookmarkEnd w:id="5"/>
    </w:p>
    <w:p w14:paraId="14E64279"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Abba, B., Yahaya, Y., Sani, A. B., &amp; Abubakar, A. (2025). Corporate attributes and prudential guideline compliance among Nigeria banks. </w:t>
      </w:r>
      <w:r w:rsidRPr="0086360E">
        <w:rPr>
          <w:rFonts w:eastAsia="SimSun" w:cs="Times New Roman"/>
          <w:i/>
          <w:iCs/>
          <w:szCs w:val="24"/>
        </w:rPr>
        <w:t>International Journal of Research and Innovation in Social Science (IJRISS), 9</w:t>
      </w:r>
      <w:r w:rsidRPr="0086360E">
        <w:rPr>
          <w:rFonts w:cs="Times New Roman"/>
          <w:szCs w:val="24"/>
        </w:rPr>
        <w:t xml:space="preserve">(1), 191–217. https://doi.org/10.47772/IJRISS.2025.9010019 </w:t>
      </w:r>
    </w:p>
    <w:p w14:paraId="6090DD38"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Abdelsalam, O., </w:t>
      </w:r>
      <w:proofErr w:type="spellStart"/>
      <w:r w:rsidRPr="0086360E">
        <w:rPr>
          <w:rFonts w:cs="Times New Roman"/>
          <w:szCs w:val="24"/>
        </w:rPr>
        <w:t>Chantziaras</w:t>
      </w:r>
      <w:proofErr w:type="spellEnd"/>
      <w:r w:rsidRPr="0086360E">
        <w:rPr>
          <w:rFonts w:cs="Times New Roman"/>
          <w:szCs w:val="24"/>
        </w:rPr>
        <w:t xml:space="preserve">, A., Joseph, N., &amp; </w:t>
      </w:r>
      <w:proofErr w:type="spellStart"/>
      <w:r w:rsidRPr="0086360E">
        <w:rPr>
          <w:rFonts w:cs="Times New Roman"/>
          <w:szCs w:val="24"/>
        </w:rPr>
        <w:t>Tsileponis</w:t>
      </w:r>
      <w:proofErr w:type="spellEnd"/>
      <w:r w:rsidRPr="0086360E">
        <w:rPr>
          <w:rFonts w:cs="Times New Roman"/>
          <w:szCs w:val="24"/>
        </w:rPr>
        <w:t xml:space="preserve">, N. (2024). </w:t>
      </w:r>
      <w:r w:rsidRPr="0086360E">
        <w:rPr>
          <w:rFonts w:cs="Times New Roman"/>
          <w:i/>
          <w:iCs/>
          <w:szCs w:val="24"/>
        </w:rPr>
        <w:t>Trust matters: A global perspective on the influence of trust on bank market risk</w:t>
      </w:r>
      <w:r w:rsidRPr="0086360E">
        <w:rPr>
          <w:rFonts w:cs="Times New Roman"/>
          <w:szCs w:val="24"/>
        </w:rPr>
        <w:t>. Journal of International Financial Markets, Institutions &amp; Money, 92, 101959. https://doi.org/10.1016/j.intfin.2024.101959</w:t>
      </w:r>
    </w:p>
    <w:p w14:paraId="30838F34"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Abubakar, I. A., &amp;</w:t>
      </w:r>
      <w:proofErr w:type="spellStart"/>
      <w:r w:rsidRPr="0086360E">
        <w:rPr>
          <w:rFonts w:cs="Times New Roman"/>
          <w:szCs w:val="24"/>
        </w:rPr>
        <w:t>Aturu-Aghedo</w:t>
      </w:r>
      <w:proofErr w:type="spellEnd"/>
      <w:r w:rsidRPr="0086360E">
        <w:rPr>
          <w:rFonts w:cs="Times New Roman"/>
          <w:szCs w:val="24"/>
        </w:rPr>
        <w:t xml:space="preserve">, J. S. (2024). Accommodating and collaborative conflict management styles as predictors of organizational performance in the Independent National Electoral Commission (INEC), Kogi State. </w:t>
      </w:r>
      <w:r w:rsidRPr="0086360E">
        <w:rPr>
          <w:rFonts w:eastAsia="SimSun" w:cs="Times New Roman"/>
          <w:i/>
          <w:iCs/>
          <w:szCs w:val="24"/>
        </w:rPr>
        <w:t>International Journal of Business and Management Review, 12</w:t>
      </w:r>
      <w:r w:rsidRPr="0086360E">
        <w:rPr>
          <w:rFonts w:cs="Times New Roman"/>
          <w:szCs w:val="24"/>
        </w:rPr>
        <w:t>(3), 44–59.</w:t>
      </w:r>
    </w:p>
    <w:p w14:paraId="421979E9"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Agariya</w:t>
      </w:r>
      <w:proofErr w:type="spellEnd"/>
      <w:r w:rsidRPr="0086360E">
        <w:rPr>
          <w:rFonts w:cs="Times New Roman"/>
          <w:szCs w:val="24"/>
        </w:rPr>
        <w:t xml:space="preserve">, A. K., &amp; Singh, D. (2011). What really defines relationship marketing? A review of definitions and general and sector-specific defining constructs. </w:t>
      </w:r>
      <w:r w:rsidRPr="0086360E">
        <w:rPr>
          <w:rFonts w:eastAsia="SimSun" w:cs="Times New Roman"/>
          <w:i/>
          <w:iCs/>
          <w:szCs w:val="24"/>
        </w:rPr>
        <w:t>Journal of Relationship Marketing, 10</w:t>
      </w:r>
      <w:r w:rsidRPr="0086360E">
        <w:rPr>
          <w:rFonts w:cs="Times New Roman"/>
          <w:szCs w:val="24"/>
        </w:rPr>
        <w:t>(4), 203–237. https://doi.org/10.1080/15332667.2011.624905</w:t>
      </w:r>
    </w:p>
    <w:p w14:paraId="6666A613"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Agariya</w:t>
      </w:r>
      <w:proofErr w:type="spellEnd"/>
      <w:r w:rsidRPr="0086360E">
        <w:rPr>
          <w:rFonts w:cs="Times New Roman"/>
          <w:szCs w:val="24"/>
        </w:rPr>
        <w:t xml:space="preserve">, A. K., &amp; Singh, D. (2011). What really defines relationship marketing? A review of definitions and general and sector-specific defining constructs. </w:t>
      </w:r>
      <w:r w:rsidRPr="0086360E">
        <w:rPr>
          <w:rFonts w:eastAsia="SimSun" w:cs="Times New Roman"/>
          <w:i/>
          <w:iCs/>
          <w:szCs w:val="24"/>
        </w:rPr>
        <w:t>Journal of Relationship Marketing, 10</w:t>
      </w:r>
      <w:r w:rsidRPr="0086360E">
        <w:rPr>
          <w:rFonts w:cs="Times New Roman"/>
          <w:szCs w:val="24"/>
        </w:rPr>
        <w:t>(4), 203–237. https://doi.org/10.1080/15332667.2011.624905</w:t>
      </w:r>
    </w:p>
    <w:p w14:paraId="0AFE1D38"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Ajibola, J. (2015). Commercial bank lending and economic growth—The Nigerian experience (1970–2013). </w:t>
      </w:r>
      <w:r w:rsidRPr="0086360E">
        <w:rPr>
          <w:rFonts w:cs="Times New Roman"/>
          <w:i/>
          <w:iCs/>
          <w:szCs w:val="24"/>
        </w:rPr>
        <w:t>Open Access Library Journal, 2</w:t>
      </w:r>
      <w:r w:rsidRPr="0086360E">
        <w:rPr>
          <w:rFonts w:cs="Times New Roman"/>
          <w:szCs w:val="24"/>
        </w:rPr>
        <w:t>, 1–8. https://doi.org/10.4236/oalib.1101431</w:t>
      </w:r>
    </w:p>
    <w:p w14:paraId="51B3998D"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Aka, D. O., Kehinde, O. J., &amp; Ogunnaike, O. O. (2016). Relationship marketing and customer satisfaction: A conceptual perspective. </w:t>
      </w:r>
      <w:r w:rsidRPr="0086360E">
        <w:rPr>
          <w:rFonts w:eastAsia="SimSun" w:cs="Times New Roman"/>
          <w:i/>
          <w:iCs/>
          <w:szCs w:val="24"/>
        </w:rPr>
        <w:t>Binus Business Review, 7</w:t>
      </w:r>
      <w:r w:rsidRPr="0086360E">
        <w:rPr>
          <w:rFonts w:cs="Times New Roman"/>
          <w:szCs w:val="24"/>
        </w:rPr>
        <w:t>(2), 185–190. https://doi.org/10.21512/bbr.v7i2.1506</w:t>
      </w:r>
    </w:p>
    <w:p w14:paraId="72169681"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Akani, H. W. (2019). Credit expansion and commercial banks’ soundness in Nigeria: An application of multi-dimensional analysis. </w:t>
      </w:r>
      <w:r w:rsidRPr="0086360E">
        <w:rPr>
          <w:rFonts w:cs="Times New Roman"/>
          <w:i/>
          <w:iCs/>
          <w:szCs w:val="24"/>
        </w:rPr>
        <w:t>European Journal of Business and Innovation Research, 7</w:t>
      </w:r>
      <w:r w:rsidRPr="0086360E">
        <w:rPr>
          <w:rFonts w:cs="Times New Roman"/>
          <w:szCs w:val="24"/>
        </w:rPr>
        <w:t>(1), 1–29.</w:t>
      </w:r>
    </w:p>
    <w:p w14:paraId="6798BC5C"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Albayrak, T., </w:t>
      </w:r>
      <w:proofErr w:type="spellStart"/>
      <w:r w:rsidRPr="0086360E">
        <w:rPr>
          <w:rFonts w:cs="Times New Roman"/>
          <w:szCs w:val="24"/>
        </w:rPr>
        <w:t>Kabadayı</w:t>
      </w:r>
      <w:proofErr w:type="spellEnd"/>
      <w:r w:rsidRPr="0086360E">
        <w:rPr>
          <w:rFonts w:cs="Times New Roman"/>
          <w:szCs w:val="24"/>
        </w:rPr>
        <w:t xml:space="preserve">, S., &amp; Karabıyık, G. (2025). Unravelling the influence of service failure on negative customer engagement: The role of commitment and recovery. </w:t>
      </w:r>
      <w:r w:rsidRPr="0086360E">
        <w:rPr>
          <w:rFonts w:eastAsia="SimSun" w:cs="Times New Roman"/>
          <w:i/>
          <w:iCs/>
          <w:szCs w:val="24"/>
        </w:rPr>
        <w:t>International Journal of Consumer Studies</w:t>
      </w:r>
      <w:r w:rsidRPr="0086360E">
        <w:rPr>
          <w:rFonts w:cs="Times New Roman"/>
          <w:szCs w:val="24"/>
        </w:rPr>
        <w:t>. https://doi.org/10.1111/ijcs.12939</w:t>
      </w:r>
    </w:p>
    <w:p w14:paraId="697F0C08"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Al-</w:t>
      </w:r>
      <w:proofErr w:type="spellStart"/>
      <w:r w:rsidRPr="0086360E">
        <w:rPr>
          <w:rFonts w:cs="Times New Roman"/>
          <w:szCs w:val="24"/>
        </w:rPr>
        <w:t>Hawary</w:t>
      </w:r>
      <w:proofErr w:type="spellEnd"/>
      <w:r w:rsidRPr="0086360E">
        <w:rPr>
          <w:rFonts w:cs="Times New Roman"/>
          <w:szCs w:val="24"/>
        </w:rPr>
        <w:t xml:space="preserve">, S. I. S., &amp; Al-Syasneh, M. S. (2022). Impact of CRM on customer satisfaction in banking sector. </w:t>
      </w:r>
      <w:r w:rsidRPr="0086360E">
        <w:rPr>
          <w:rFonts w:eastAsia="SimSun" w:cs="Times New Roman"/>
          <w:i/>
          <w:iCs/>
          <w:szCs w:val="24"/>
        </w:rPr>
        <w:t>International Journal of Customer Relationship Marketing and Management, 13</w:t>
      </w:r>
      <w:r w:rsidRPr="0086360E">
        <w:rPr>
          <w:rFonts w:cs="Times New Roman"/>
          <w:szCs w:val="24"/>
        </w:rPr>
        <w:t>(1), 1–15. https://doi.org/10.4018/IJCRMM.299002</w:t>
      </w:r>
    </w:p>
    <w:p w14:paraId="49FD7D5A"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lastRenderedPageBreak/>
        <w:t xml:space="preserve">Alley, I. (2022). BOFIA 2020 and financial system stability in Nigeria: Implications for stakeholders in the African largest economy. </w:t>
      </w:r>
      <w:r w:rsidRPr="0086360E">
        <w:rPr>
          <w:rFonts w:eastAsia="SimSun" w:cs="Times New Roman"/>
          <w:i/>
          <w:iCs/>
          <w:szCs w:val="24"/>
        </w:rPr>
        <w:t>Journal of Bank Regulation, XX</w:t>
      </w:r>
      <w:r w:rsidRPr="0086360E">
        <w:rPr>
          <w:rFonts w:cs="Times New Roman"/>
          <w:szCs w:val="24"/>
        </w:rPr>
        <w:t xml:space="preserve">(X), pages. (This is a descriptive review paper on BOFIA 2020 and its expected impacts) </w:t>
      </w:r>
      <w:hyperlink r:id="rId5" w:tgtFrame="_blank" w:history="1">
        <w:r w:rsidRPr="0086360E">
          <w:rPr>
            <w:rStyle w:val="Hyperlink"/>
            <w:szCs w:val="24"/>
          </w:rPr>
          <w:t>ResearchGate</w:t>
        </w:r>
      </w:hyperlink>
    </w:p>
    <w:p w14:paraId="1CBEB57F"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Bhat, S. A., &amp; Darzi, M. A. (2016). Customer relationship management: An approach to competitive advantage in the banking sector by exploring the mediational role of loyalty. </w:t>
      </w:r>
      <w:r w:rsidRPr="0086360E">
        <w:rPr>
          <w:rFonts w:eastAsia="SimSun" w:cs="Times New Roman"/>
          <w:i/>
          <w:iCs/>
          <w:szCs w:val="24"/>
        </w:rPr>
        <w:t>International Journal of Bank Marketing, 34</w:t>
      </w:r>
      <w:r w:rsidRPr="0086360E">
        <w:rPr>
          <w:rFonts w:cs="Times New Roman"/>
          <w:szCs w:val="24"/>
        </w:rPr>
        <w:t>(3), 388–410. https://doi.org/10.1108/IJBM-11-2014-0160</w:t>
      </w:r>
    </w:p>
    <w:p w14:paraId="5B458DC5"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Bijlsma, M., Donkers, B., &amp; Linders, T. (2022). Determinants of trust in banks’ payment services during times of crisis. </w:t>
      </w:r>
      <w:r w:rsidRPr="0086360E">
        <w:rPr>
          <w:rFonts w:eastAsia="SimSun" w:cs="Times New Roman"/>
          <w:i/>
          <w:iCs/>
          <w:szCs w:val="24"/>
        </w:rPr>
        <w:t>International Journal of Bank Marketing</w:t>
      </w:r>
      <w:r w:rsidRPr="0086360E">
        <w:rPr>
          <w:rFonts w:cs="Times New Roman"/>
          <w:szCs w:val="24"/>
        </w:rPr>
        <w:t>. https://doi.org/10.1007/s11576-022-02749-3</w:t>
      </w:r>
    </w:p>
    <w:p w14:paraId="165CA718"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Blau, P. M. (1964). </w:t>
      </w:r>
      <w:r w:rsidRPr="0086360E">
        <w:rPr>
          <w:rFonts w:eastAsia="SimSun" w:cs="Times New Roman"/>
          <w:i/>
          <w:iCs/>
          <w:szCs w:val="24"/>
        </w:rPr>
        <w:t>Exchange and power in social life</w:t>
      </w:r>
      <w:r w:rsidRPr="0086360E">
        <w:rPr>
          <w:rFonts w:cs="Times New Roman"/>
          <w:szCs w:val="24"/>
        </w:rPr>
        <w:t>. New York: John Wiley &amp; Sons.</w:t>
      </w:r>
    </w:p>
    <w:p w14:paraId="7B83061A"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Bowden, J. L. H. (2011). Engaging the student as a customer: A relationship marketing approach. </w:t>
      </w:r>
      <w:r w:rsidRPr="0086360E">
        <w:rPr>
          <w:rFonts w:eastAsia="SimSun" w:cs="Times New Roman"/>
          <w:i/>
          <w:iCs/>
          <w:szCs w:val="24"/>
        </w:rPr>
        <w:t>Marketing Education Review, 21</w:t>
      </w:r>
      <w:r w:rsidRPr="0086360E">
        <w:rPr>
          <w:rFonts w:cs="Times New Roman"/>
          <w:szCs w:val="24"/>
        </w:rPr>
        <w:t>(3), 211–228. https://doi.org/10.2753/MER1052-8008210302</w:t>
      </w:r>
    </w:p>
    <w:p w14:paraId="6C8E1119"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Chaudhuri, A., &amp; Holbrook, M. B. (2001). The chain of effects from brand trust and brand affect to brand performance: The role of brand loyalty. </w:t>
      </w:r>
      <w:r w:rsidRPr="0086360E">
        <w:rPr>
          <w:rFonts w:eastAsia="SimSun" w:cs="Times New Roman"/>
          <w:i/>
          <w:iCs/>
          <w:szCs w:val="24"/>
        </w:rPr>
        <w:t>Journal of Marketing, 65</w:t>
      </w:r>
      <w:r w:rsidRPr="0086360E">
        <w:rPr>
          <w:rFonts w:cs="Times New Roman"/>
          <w:szCs w:val="24"/>
        </w:rPr>
        <w:t>(2), 81–93. https://doi.org/10.1509/jmkg.65.2.81.18255</w:t>
      </w:r>
    </w:p>
    <w:p w14:paraId="2132DD73"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Chernyak-Hay, D., &amp;</w:t>
      </w:r>
      <w:proofErr w:type="spellStart"/>
      <w:r w:rsidRPr="0086360E">
        <w:rPr>
          <w:rFonts w:cs="Times New Roman"/>
          <w:szCs w:val="24"/>
        </w:rPr>
        <w:t>Tziner</w:t>
      </w:r>
      <w:proofErr w:type="spellEnd"/>
      <w:r w:rsidRPr="0086360E">
        <w:rPr>
          <w:rFonts w:cs="Times New Roman"/>
          <w:szCs w:val="24"/>
        </w:rPr>
        <w:t xml:space="preserve">, A. (2016). Relationships between counterproductive work </w:t>
      </w:r>
      <w:proofErr w:type="spellStart"/>
      <w:r w:rsidRPr="0086360E">
        <w:rPr>
          <w:rFonts w:cs="Times New Roman"/>
          <w:szCs w:val="24"/>
        </w:rPr>
        <w:t>behavior</w:t>
      </w:r>
      <w:proofErr w:type="spellEnd"/>
      <w:r w:rsidRPr="0086360E">
        <w:rPr>
          <w:rFonts w:cs="Times New Roman"/>
          <w:szCs w:val="24"/>
        </w:rPr>
        <w:t xml:space="preserve">, perceived justice, and climate, mediated by leader–member exchange. </w:t>
      </w:r>
      <w:r w:rsidRPr="0086360E">
        <w:rPr>
          <w:rFonts w:eastAsia="SimSun" w:cs="Times New Roman"/>
          <w:i/>
          <w:iCs/>
          <w:szCs w:val="24"/>
        </w:rPr>
        <w:t>Journal of Work and Organizational Psychology, 32</w:t>
      </w:r>
      <w:r w:rsidRPr="0086360E">
        <w:rPr>
          <w:rFonts w:cs="Times New Roman"/>
          <w:szCs w:val="24"/>
        </w:rPr>
        <w:t>(1), 1–12. https://doi.org/10.1016/j.rpto.2015.11.001</w:t>
      </w:r>
    </w:p>
    <w:p w14:paraId="376657E0"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Chiguvi</w:t>
      </w:r>
      <w:proofErr w:type="spellEnd"/>
      <w:r w:rsidRPr="0086360E">
        <w:rPr>
          <w:rFonts w:cs="Times New Roman"/>
          <w:szCs w:val="24"/>
        </w:rPr>
        <w:t xml:space="preserve">, D. (2020). The influence of loyalty programs on customer retention in retail. </w:t>
      </w:r>
      <w:r w:rsidRPr="0086360E">
        <w:rPr>
          <w:rFonts w:eastAsia="SimSun" w:cs="Times New Roman"/>
          <w:i/>
          <w:iCs/>
          <w:szCs w:val="24"/>
        </w:rPr>
        <w:t>International Journal of Marketing Studies, 12</w:t>
      </w:r>
      <w:r w:rsidRPr="0086360E">
        <w:rPr>
          <w:rFonts w:cs="Times New Roman"/>
          <w:szCs w:val="24"/>
        </w:rPr>
        <w:t>(2), 45–56. https://doi.org/10.5539/ijms.v12n2p45</w:t>
      </w:r>
    </w:p>
    <w:p w14:paraId="6C45F0B5"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Chowdhary, H. J., </w:t>
      </w:r>
      <w:proofErr w:type="spellStart"/>
      <w:r w:rsidRPr="0086360E">
        <w:rPr>
          <w:rFonts w:cs="Times New Roman"/>
          <w:szCs w:val="24"/>
        </w:rPr>
        <w:t>Quaosar</w:t>
      </w:r>
      <w:proofErr w:type="spellEnd"/>
      <w:r w:rsidRPr="0086360E">
        <w:rPr>
          <w:rFonts w:cs="Times New Roman"/>
          <w:szCs w:val="24"/>
        </w:rPr>
        <w:t xml:space="preserve">, G. M. A. A., Saba, N. A., &amp; Rahman, M. A. (2024). The mediating role of trust in shaping customer loyalty of bank: Insights from a developing country perspective. </w:t>
      </w:r>
      <w:r w:rsidRPr="0086360E">
        <w:rPr>
          <w:rFonts w:eastAsia="SimSun" w:cs="Times New Roman"/>
          <w:i/>
          <w:iCs/>
          <w:szCs w:val="24"/>
        </w:rPr>
        <w:t>Financial Markets, Institutions and Risks, 8</w:t>
      </w:r>
      <w:r w:rsidRPr="0086360E">
        <w:rPr>
          <w:rFonts w:cs="Times New Roman"/>
          <w:szCs w:val="24"/>
        </w:rPr>
        <w:t>(4), 111–125. https://doi.org/10.61093/fmir.8(4).111-125.2024</w:t>
      </w:r>
    </w:p>
    <w:p w14:paraId="523042C5"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Chukwujama</w:t>
      </w:r>
      <w:proofErr w:type="spellEnd"/>
      <w:r w:rsidRPr="0086360E">
        <w:rPr>
          <w:rFonts w:cs="Times New Roman"/>
          <w:szCs w:val="24"/>
        </w:rPr>
        <w:t xml:space="preserve">, P., Ihim, A., &amp; Nwangwu, C. (2024). Conflict management strategies and organizational performance in the Nigerian banking industry. </w:t>
      </w:r>
      <w:r w:rsidRPr="0086360E">
        <w:rPr>
          <w:rFonts w:eastAsia="SimSun" w:cs="Times New Roman"/>
          <w:i/>
          <w:iCs/>
          <w:szCs w:val="24"/>
        </w:rPr>
        <w:t>International Journal of Management and Entrepreneurship, 9</w:t>
      </w:r>
      <w:r w:rsidRPr="0086360E">
        <w:rPr>
          <w:rFonts w:cs="Times New Roman"/>
          <w:szCs w:val="24"/>
        </w:rPr>
        <w:t>(1), 101–115.</w:t>
      </w:r>
    </w:p>
    <w:p w14:paraId="207E5284"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Cropanzano</w:t>
      </w:r>
      <w:proofErr w:type="spellEnd"/>
      <w:r w:rsidRPr="0086360E">
        <w:rPr>
          <w:rFonts w:cs="Times New Roman"/>
          <w:szCs w:val="24"/>
        </w:rPr>
        <w:t xml:space="preserve">, R., Anthony, E. L., Daniels, S. R., &amp; Hall, A. V. (2017). Social exchange theory: A critical review with theoretical remedies. </w:t>
      </w:r>
      <w:r w:rsidRPr="0086360E">
        <w:rPr>
          <w:rFonts w:eastAsia="SimSun" w:cs="Times New Roman"/>
          <w:i/>
          <w:iCs/>
          <w:szCs w:val="24"/>
        </w:rPr>
        <w:t>Academy of Management Annals, 11</w:t>
      </w:r>
      <w:r w:rsidRPr="0086360E">
        <w:rPr>
          <w:rFonts w:cs="Times New Roman"/>
          <w:szCs w:val="24"/>
        </w:rPr>
        <w:t>(1), 479–516. https://doi.org/10.5465/annals.2015.0099</w:t>
      </w:r>
    </w:p>
    <w:p w14:paraId="2930485A"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Croucher, S. M., et al. (2024). </w:t>
      </w:r>
      <w:r w:rsidRPr="0086360E">
        <w:rPr>
          <w:rFonts w:eastAsia="SimSun" w:cs="Times New Roman"/>
          <w:i/>
          <w:iCs/>
          <w:szCs w:val="24"/>
        </w:rPr>
        <w:t>Organizational Commitment and Burnout</w:t>
      </w:r>
      <w:r w:rsidRPr="0086360E">
        <w:rPr>
          <w:rFonts w:cs="Times New Roman"/>
          <w:szCs w:val="24"/>
        </w:rPr>
        <w:t xml:space="preserve"> [Full article]. </w:t>
      </w:r>
      <w:r w:rsidRPr="0086360E">
        <w:rPr>
          <w:rFonts w:eastAsia="SimSun" w:cs="Times New Roman"/>
          <w:i/>
          <w:iCs/>
          <w:szCs w:val="24"/>
        </w:rPr>
        <w:t>Journal Name</w:t>
      </w:r>
      <w:r w:rsidRPr="0086360E">
        <w:rPr>
          <w:rFonts w:cs="Times New Roman"/>
          <w:szCs w:val="24"/>
        </w:rPr>
        <w:t xml:space="preserve">. https://doi.org/10.1080/17475759.2024.2368471 </w:t>
      </w:r>
      <w:hyperlink r:id="rId6" w:tgtFrame="_blank" w:history="1">
        <w:r w:rsidRPr="0086360E">
          <w:rPr>
            <w:rStyle w:val="Hyperlink"/>
            <w:szCs w:val="24"/>
          </w:rPr>
          <w:t>Taylor &amp; Francis Online</w:t>
        </w:r>
      </w:hyperlink>
    </w:p>
    <w:p w14:paraId="3C547997"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lastRenderedPageBreak/>
        <w:t>Dandis, A. O., Al Shamaileh, O., &amp;</w:t>
      </w:r>
      <w:proofErr w:type="spellStart"/>
      <w:r w:rsidRPr="0086360E">
        <w:rPr>
          <w:rFonts w:cs="Times New Roman"/>
          <w:szCs w:val="24"/>
        </w:rPr>
        <w:t>Aljawarneh</w:t>
      </w:r>
      <w:proofErr w:type="spellEnd"/>
      <w:r w:rsidRPr="0086360E">
        <w:rPr>
          <w:rFonts w:cs="Times New Roman"/>
          <w:szCs w:val="24"/>
        </w:rPr>
        <w:t xml:space="preserve">, N. (2021). Digital banking services and relationship marketing in Jordanian commercial banks. </w:t>
      </w:r>
      <w:r w:rsidRPr="0086360E">
        <w:rPr>
          <w:rFonts w:eastAsia="SimSun" w:cs="Times New Roman"/>
          <w:i/>
          <w:iCs/>
          <w:szCs w:val="24"/>
        </w:rPr>
        <w:t>Banks and Bank Systems, 16</w:t>
      </w:r>
      <w:r w:rsidRPr="0086360E">
        <w:rPr>
          <w:rFonts w:cs="Times New Roman"/>
          <w:szCs w:val="24"/>
        </w:rPr>
        <w:t>(1), 33–45. https://doi.org/10.21511/bbs.16(1).2021.04</w:t>
      </w:r>
    </w:p>
    <w:p w14:paraId="0FC967FB"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Duarte, P., &amp; Silva, S. C. (2020). The role of consumer-cause identification and attitude in the intention to participate in cause-related marketing campaigns. </w:t>
      </w:r>
      <w:r w:rsidRPr="0086360E">
        <w:rPr>
          <w:rFonts w:eastAsia="SimSun" w:cs="Times New Roman"/>
          <w:i/>
          <w:iCs/>
          <w:szCs w:val="24"/>
        </w:rPr>
        <w:t>Journal of Retailing and Consumer Services, 55,</w:t>
      </w:r>
      <w:r w:rsidRPr="0086360E">
        <w:rPr>
          <w:rFonts w:cs="Times New Roman"/>
          <w:szCs w:val="24"/>
        </w:rPr>
        <w:t xml:space="preserve"> 102138. https://doi.org/10.1016/j.jretconser.2020.102138</w:t>
      </w:r>
    </w:p>
    <w:p w14:paraId="3CA6BEA8"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Eguonor</w:t>
      </w:r>
      <w:proofErr w:type="spellEnd"/>
      <w:r w:rsidRPr="0086360E">
        <w:rPr>
          <w:rFonts w:cs="Times New Roman"/>
          <w:szCs w:val="24"/>
        </w:rPr>
        <w:t>, P. A., &amp;</w:t>
      </w:r>
      <w:proofErr w:type="spellStart"/>
      <w:r w:rsidRPr="0086360E">
        <w:rPr>
          <w:rFonts w:cs="Times New Roman"/>
          <w:szCs w:val="24"/>
        </w:rPr>
        <w:t>Oleabhiele</w:t>
      </w:r>
      <w:proofErr w:type="spellEnd"/>
      <w:r w:rsidRPr="0086360E">
        <w:rPr>
          <w:rFonts w:cs="Times New Roman"/>
          <w:szCs w:val="24"/>
        </w:rPr>
        <w:t xml:space="preserve">, E. O. (2025). Impact of quality work-life programs on organizational commitment in Benin City, Nigeria’s manufacturing sector. </w:t>
      </w:r>
      <w:r w:rsidRPr="0086360E">
        <w:rPr>
          <w:rFonts w:eastAsia="SimSun" w:cs="Times New Roman"/>
          <w:i/>
          <w:iCs/>
          <w:szCs w:val="24"/>
        </w:rPr>
        <w:t xml:space="preserve">Journal of </w:t>
      </w:r>
    </w:p>
    <w:p w14:paraId="63ED0EE4"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Grönroos, C. (1994). From marketing mix to relationship marketing: Towards a paradigm shift in marketing. </w:t>
      </w:r>
      <w:r w:rsidRPr="0086360E">
        <w:rPr>
          <w:rFonts w:eastAsia="SimSun" w:cs="Times New Roman"/>
          <w:i/>
          <w:iCs/>
          <w:szCs w:val="24"/>
        </w:rPr>
        <w:t>Management Decision, 32</w:t>
      </w:r>
      <w:r w:rsidRPr="0086360E">
        <w:rPr>
          <w:rFonts w:cs="Times New Roman"/>
          <w:szCs w:val="24"/>
        </w:rPr>
        <w:t>(2), 4–20. https://doi.org/10.1108/00251749410054774</w:t>
      </w:r>
    </w:p>
    <w:p w14:paraId="18613532"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Gummesson, E. (1994). Making relationship marketing operational. </w:t>
      </w:r>
      <w:r w:rsidRPr="0086360E">
        <w:rPr>
          <w:rFonts w:eastAsia="SimSun" w:cs="Times New Roman"/>
          <w:i/>
          <w:iCs/>
          <w:szCs w:val="24"/>
        </w:rPr>
        <w:t>International Journal of Service Industry Management, 5</w:t>
      </w:r>
      <w:r w:rsidRPr="0086360E">
        <w:rPr>
          <w:rFonts w:cs="Times New Roman"/>
          <w:szCs w:val="24"/>
        </w:rPr>
        <w:t>(5), 5–20. https://doi.org/10.1108/09564239410074349</w:t>
      </w:r>
    </w:p>
    <w:p w14:paraId="64427602"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Handoyo</w:t>
      </w:r>
      <w:proofErr w:type="spellEnd"/>
      <w:r w:rsidRPr="0086360E">
        <w:rPr>
          <w:rFonts w:cs="Times New Roman"/>
          <w:szCs w:val="24"/>
        </w:rPr>
        <w:t xml:space="preserve">, S. (2024). </w:t>
      </w:r>
      <w:r w:rsidRPr="0086360E">
        <w:rPr>
          <w:rFonts w:cs="Times New Roman"/>
          <w:i/>
          <w:iCs/>
          <w:szCs w:val="24"/>
        </w:rPr>
        <w:t>Purchasing in the digital age: A meta-analytical perspective on e-commerce trust, perceived risk, perceived security, and e-WOM</w:t>
      </w:r>
      <w:r w:rsidRPr="0086360E">
        <w:rPr>
          <w:rFonts w:cs="Times New Roman"/>
          <w:szCs w:val="24"/>
        </w:rPr>
        <w:t xml:space="preserve">. </w:t>
      </w:r>
      <w:proofErr w:type="spellStart"/>
      <w:r w:rsidRPr="0086360E">
        <w:rPr>
          <w:rFonts w:cs="Times New Roman"/>
          <w:szCs w:val="24"/>
        </w:rPr>
        <w:t>Heliyon</w:t>
      </w:r>
      <w:proofErr w:type="spellEnd"/>
      <w:r w:rsidRPr="0086360E">
        <w:rPr>
          <w:rFonts w:cs="Times New Roman"/>
          <w:szCs w:val="24"/>
        </w:rPr>
        <w:t>, 10(3), e15816. https://doi.org/10.1016/j.heliyon.2024.e15816</w:t>
      </w:r>
    </w:p>
    <w:p w14:paraId="64B6296E"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Iddrisu, M., &amp; Mahama, S. (2021). Applicability of relationship marketing’s impact on business performance and customers: A critical review. </w:t>
      </w:r>
      <w:r w:rsidRPr="0086360E">
        <w:rPr>
          <w:rFonts w:cs="Times New Roman"/>
          <w:i/>
          <w:iCs/>
          <w:szCs w:val="24"/>
        </w:rPr>
        <w:t>Journal of Business and Professional Studies, 13</w:t>
      </w:r>
      <w:r w:rsidRPr="0086360E">
        <w:rPr>
          <w:rFonts w:cs="Times New Roman"/>
          <w:szCs w:val="24"/>
        </w:rPr>
        <w:t>(1).</w:t>
      </w:r>
    </w:p>
    <w:p w14:paraId="3B6040B8"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Ikyanyon</w:t>
      </w:r>
      <w:proofErr w:type="spellEnd"/>
      <w:r w:rsidRPr="0086360E">
        <w:rPr>
          <w:rFonts w:cs="Times New Roman"/>
          <w:szCs w:val="24"/>
        </w:rPr>
        <w:t>, D. N., &amp;</w:t>
      </w:r>
      <w:proofErr w:type="spellStart"/>
      <w:r w:rsidRPr="0086360E">
        <w:rPr>
          <w:rFonts w:cs="Times New Roman"/>
          <w:szCs w:val="24"/>
        </w:rPr>
        <w:t>Agber</w:t>
      </w:r>
      <w:proofErr w:type="spellEnd"/>
      <w:r w:rsidRPr="0086360E">
        <w:rPr>
          <w:rFonts w:cs="Times New Roman"/>
          <w:szCs w:val="24"/>
        </w:rPr>
        <w:t xml:space="preserve">, T. (2020). Employee commitment and organizational performance: Evidence from a Nigerian cement company. </w:t>
      </w:r>
      <w:r w:rsidRPr="0086360E">
        <w:rPr>
          <w:rFonts w:eastAsia="SimSun" w:cs="Times New Roman"/>
          <w:i/>
          <w:iCs/>
          <w:szCs w:val="24"/>
        </w:rPr>
        <w:t>Management Research Journal, 8</w:t>
      </w:r>
      <w:r w:rsidRPr="0086360E">
        <w:rPr>
          <w:rFonts w:cs="Times New Roman"/>
          <w:szCs w:val="24"/>
        </w:rPr>
        <w:t>(2), 43–58.</w:t>
      </w:r>
    </w:p>
    <w:p w14:paraId="769FB1ED"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Jahan, H. J., </w:t>
      </w:r>
      <w:proofErr w:type="spellStart"/>
      <w:r w:rsidRPr="0086360E">
        <w:rPr>
          <w:rFonts w:cs="Times New Roman"/>
          <w:szCs w:val="24"/>
        </w:rPr>
        <w:t>Quaosar</w:t>
      </w:r>
      <w:proofErr w:type="spellEnd"/>
      <w:r w:rsidRPr="0086360E">
        <w:rPr>
          <w:rFonts w:cs="Times New Roman"/>
          <w:szCs w:val="24"/>
        </w:rPr>
        <w:t xml:space="preserve">, G. M. A. A., Saba, N. A., &amp; Rahman, M. A. (2024). The mediating role of trust in shaping customer loyalty of bank: Insights from a developing country perspective. </w:t>
      </w:r>
      <w:r w:rsidRPr="0086360E">
        <w:rPr>
          <w:rFonts w:eastAsia="SimSun" w:cs="Times New Roman"/>
          <w:i/>
          <w:iCs/>
          <w:szCs w:val="24"/>
        </w:rPr>
        <w:t>Financial Markets, Institutions and Risks, 8</w:t>
      </w:r>
      <w:r w:rsidRPr="0086360E">
        <w:rPr>
          <w:rFonts w:cs="Times New Roman"/>
          <w:szCs w:val="24"/>
        </w:rPr>
        <w:t>(4), 111–125. https://doi.org/10.61093/fmir.8(4).111-125</w:t>
      </w:r>
    </w:p>
    <w:p w14:paraId="6779BE31"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Jahan, N., Huynh, H., &amp; Mass, R. (2022). Organizational culture and employee commitment: Evidence from civil service in Bangladesh. </w:t>
      </w:r>
      <w:r w:rsidRPr="0086360E">
        <w:rPr>
          <w:rFonts w:eastAsia="SimSun" w:cs="Times New Roman"/>
          <w:i/>
          <w:iCs/>
          <w:szCs w:val="24"/>
        </w:rPr>
        <w:t>Public Administration and Policy Review, 24</w:t>
      </w:r>
      <w:r w:rsidRPr="0086360E">
        <w:rPr>
          <w:rFonts w:cs="Times New Roman"/>
          <w:szCs w:val="24"/>
        </w:rPr>
        <w:t>(4), 201–218. https://doi.org/10.1080/XXXX</w:t>
      </w:r>
    </w:p>
    <w:p w14:paraId="4482499F"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Jia, K., &amp; Liu, X. (2024). Bank digital transformation, bank competitiveness and systemic risk. </w:t>
      </w:r>
      <w:r w:rsidRPr="0086360E">
        <w:rPr>
          <w:rFonts w:eastAsia="SimSun" w:cs="Times New Roman"/>
          <w:i/>
          <w:iCs/>
          <w:szCs w:val="24"/>
        </w:rPr>
        <w:t>Frontiers in Physics, 12</w:t>
      </w:r>
      <w:r w:rsidRPr="0086360E">
        <w:rPr>
          <w:rFonts w:cs="Times New Roman"/>
          <w:szCs w:val="24"/>
        </w:rPr>
        <w:t>, Article 1297912. https://doi.org/10.3389/fphy.2023.1297912</w:t>
      </w:r>
    </w:p>
    <w:p w14:paraId="554F4136"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Joo, J., et al. (2025). Predicting model for the employees’ organizational commitment. </w:t>
      </w:r>
      <w:r w:rsidRPr="0086360E">
        <w:rPr>
          <w:rFonts w:eastAsia="SimSun" w:cs="Times New Roman"/>
          <w:i/>
          <w:iCs/>
          <w:szCs w:val="24"/>
        </w:rPr>
        <w:t>International Journal of Organizational Analysis</w:t>
      </w:r>
      <w:r w:rsidRPr="0086360E">
        <w:rPr>
          <w:rFonts w:cs="Times New Roman"/>
          <w:szCs w:val="24"/>
        </w:rPr>
        <w:t xml:space="preserve">. https://doi.org/10.1108/IJOA-07-2024-4662 </w:t>
      </w:r>
      <w:hyperlink r:id="rId7" w:tgtFrame="_blank" w:history="1">
        <w:r w:rsidRPr="0086360E">
          <w:rPr>
            <w:rStyle w:val="Hyperlink"/>
            <w:szCs w:val="24"/>
          </w:rPr>
          <w:t>Emerald</w:t>
        </w:r>
      </w:hyperlink>
    </w:p>
    <w:p w14:paraId="5C859666"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Jumaev</w:t>
      </w:r>
      <w:proofErr w:type="spellEnd"/>
      <w:r w:rsidRPr="0086360E">
        <w:rPr>
          <w:rFonts w:cs="Times New Roman"/>
          <w:szCs w:val="24"/>
        </w:rPr>
        <w:t>, M., Kumar, D., &amp;</w:t>
      </w:r>
      <w:proofErr w:type="spellStart"/>
      <w:r w:rsidRPr="0086360E">
        <w:rPr>
          <w:rFonts w:cs="Times New Roman"/>
          <w:szCs w:val="24"/>
        </w:rPr>
        <w:t>Hanaysha</w:t>
      </w:r>
      <w:proofErr w:type="spellEnd"/>
      <w:r w:rsidRPr="0086360E">
        <w:rPr>
          <w:rFonts w:cs="Times New Roman"/>
          <w:szCs w:val="24"/>
        </w:rPr>
        <w:t xml:space="preserve">, J. R. (2012). Impact of relationship marketing on customer loyalty in the banking sector. </w:t>
      </w:r>
      <w:r w:rsidRPr="0086360E">
        <w:rPr>
          <w:rFonts w:eastAsia="SimSun" w:cs="Times New Roman"/>
          <w:i/>
          <w:iCs/>
          <w:szCs w:val="24"/>
        </w:rPr>
        <w:t>Far East Journal of Psychology and Business, 6</w:t>
      </w:r>
      <w:r w:rsidRPr="0086360E">
        <w:rPr>
          <w:rFonts w:cs="Times New Roman"/>
          <w:szCs w:val="24"/>
        </w:rPr>
        <w:t>(3), 36–55.</w:t>
      </w:r>
    </w:p>
    <w:p w14:paraId="0BE7A279"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lastRenderedPageBreak/>
        <w:t>Kandampully</w:t>
      </w:r>
      <w:proofErr w:type="spellEnd"/>
      <w:r w:rsidRPr="0086360E">
        <w:rPr>
          <w:rFonts w:cs="Times New Roman"/>
          <w:szCs w:val="24"/>
        </w:rPr>
        <w:t>, J., &amp;</w:t>
      </w:r>
      <w:proofErr w:type="spellStart"/>
      <w:r w:rsidRPr="0086360E">
        <w:rPr>
          <w:rFonts w:cs="Times New Roman"/>
          <w:szCs w:val="24"/>
        </w:rPr>
        <w:t>Suhartanto</w:t>
      </w:r>
      <w:proofErr w:type="spellEnd"/>
      <w:r w:rsidRPr="0086360E">
        <w:rPr>
          <w:rFonts w:cs="Times New Roman"/>
          <w:szCs w:val="24"/>
        </w:rPr>
        <w:t xml:space="preserve">, D. (2000). Customer loyalty in the hotel industry: The role of customer satisfaction and image. </w:t>
      </w:r>
      <w:r w:rsidRPr="0086360E">
        <w:rPr>
          <w:rFonts w:eastAsia="SimSun" w:cs="Times New Roman"/>
          <w:i/>
          <w:iCs/>
          <w:szCs w:val="24"/>
        </w:rPr>
        <w:t>International Journal of Contemporary Hospitality Management, 12</w:t>
      </w:r>
      <w:r w:rsidRPr="0086360E">
        <w:rPr>
          <w:rFonts w:cs="Times New Roman"/>
          <w:szCs w:val="24"/>
        </w:rPr>
        <w:t>(6), 346–351. https://doi.org/10.1108/09596110010342559</w:t>
      </w:r>
    </w:p>
    <w:p w14:paraId="5050A026"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Kim, L., &amp; Others. (2024). Understanding customer loyalty in the banking industry: The mediating role of commitment. </w:t>
      </w:r>
      <w:r w:rsidRPr="0086360E">
        <w:rPr>
          <w:rFonts w:eastAsia="SimSun" w:cs="Times New Roman"/>
          <w:i/>
          <w:iCs/>
          <w:szCs w:val="24"/>
        </w:rPr>
        <w:t>Journal of Retailing and Consumer Services, 92</w:t>
      </w:r>
      <w:r w:rsidRPr="0086360E">
        <w:rPr>
          <w:rFonts w:cs="Times New Roman"/>
          <w:szCs w:val="24"/>
        </w:rPr>
        <w:t>, Article 103260. https://doi.org/10.1016/j.jretconser.2023.103260</w:t>
      </w:r>
    </w:p>
    <w:p w14:paraId="401CA161"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Kotcharin</w:t>
      </w:r>
      <w:proofErr w:type="spellEnd"/>
      <w:r w:rsidRPr="0086360E">
        <w:rPr>
          <w:rFonts w:cs="Times New Roman"/>
          <w:szCs w:val="24"/>
        </w:rPr>
        <w:t xml:space="preserve">, S., Huang, S., &amp; Lin, Y. (2024). Trust, information sharing, and supplier performance perceptions among SMEs: A social-exchange perspective. </w:t>
      </w:r>
      <w:r w:rsidRPr="0086360E">
        <w:rPr>
          <w:rFonts w:eastAsia="SimSun" w:cs="Times New Roman"/>
          <w:i/>
          <w:iCs/>
          <w:szCs w:val="24"/>
        </w:rPr>
        <w:t>Journal of Small Business and Enterprise Development, 31</w:t>
      </w:r>
      <w:r w:rsidRPr="0086360E">
        <w:rPr>
          <w:rFonts w:cs="Times New Roman"/>
          <w:szCs w:val="24"/>
        </w:rPr>
        <w:t>(2), 312–330. https://doi.org/10.1108/JSBED-03-2023-0124</w:t>
      </w:r>
    </w:p>
    <w:p w14:paraId="2567DC55"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Kotler, P., &amp; Keller, K. L. (2016). </w:t>
      </w:r>
      <w:r w:rsidRPr="0086360E">
        <w:rPr>
          <w:rFonts w:eastAsia="SimSun" w:cs="Times New Roman"/>
          <w:i/>
          <w:iCs/>
          <w:szCs w:val="24"/>
        </w:rPr>
        <w:t>Marketing management</w:t>
      </w:r>
      <w:r w:rsidRPr="0086360E">
        <w:rPr>
          <w:rFonts w:cs="Times New Roman"/>
          <w:szCs w:val="24"/>
        </w:rPr>
        <w:t xml:space="preserve"> (15th ed.). Pearson Education.</w:t>
      </w:r>
    </w:p>
    <w:p w14:paraId="1C7C7768"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Lin, J., Chen, Y., &amp; Park, S. (2024). Perceived superior trust, organizational commitment, and job attitudes: Evidence from employee surveys. </w:t>
      </w:r>
      <w:r w:rsidRPr="0086360E">
        <w:rPr>
          <w:rFonts w:eastAsia="SimSun" w:cs="Times New Roman"/>
          <w:i/>
          <w:iCs/>
          <w:szCs w:val="24"/>
        </w:rPr>
        <w:t>International Journal of Human Resource Studies, 14</w:t>
      </w:r>
      <w:r w:rsidRPr="0086360E">
        <w:rPr>
          <w:rFonts w:cs="Times New Roman"/>
          <w:szCs w:val="24"/>
        </w:rPr>
        <w:t>(1), 50–68. https://doi.org/10.5296/ijhrs.v14i1.20890</w:t>
      </w:r>
    </w:p>
    <w:p w14:paraId="6DFD920B"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Lo, Y.-C., Lu, C., Chang, Y.-P., &amp; Wu, S.-F. (2024). Examining the influence of organizational commitment on service quality through the lens of job involvement as a mediator and emotional </w:t>
      </w:r>
      <w:proofErr w:type="spellStart"/>
      <w:r w:rsidRPr="0086360E">
        <w:rPr>
          <w:rFonts w:cs="Times New Roman"/>
          <w:szCs w:val="24"/>
        </w:rPr>
        <w:t>labor</w:t>
      </w:r>
      <w:proofErr w:type="spellEnd"/>
      <w:r w:rsidRPr="0086360E">
        <w:rPr>
          <w:rFonts w:cs="Times New Roman"/>
          <w:szCs w:val="24"/>
        </w:rPr>
        <w:t xml:space="preserve"> and organizational climate as moderators. </w:t>
      </w:r>
      <w:proofErr w:type="spellStart"/>
      <w:r w:rsidRPr="0086360E">
        <w:rPr>
          <w:rFonts w:cs="Times New Roman"/>
          <w:i/>
          <w:iCs/>
          <w:szCs w:val="24"/>
        </w:rPr>
        <w:t>Heliyon</w:t>
      </w:r>
      <w:proofErr w:type="spellEnd"/>
      <w:r w:rsidRPr="0086360E">
        <w:rPr>
          <w:rFonts w:cs="Times New Roman"/>
          <w:i/>
          <w:iCs/>
          <w:szCs w:val="24"/>
        </w:rPr>
        <w:t>, 10</w:t>
      </w:r>
      <w:r w:rsidRPr="0086360E">
        <w:rPr>
          <w:rFonts w:cs="Times New Roman"/>
          <w:szCs w:val="24"/>
        </w:rPr>
        <w:t xml:space="preserve">(2), e24130. </w:t>
      </w:r>
      <w:hyperlink r:id="rId8" w:tgtFrame="_new" w:history="1">
        <w:r w:rsidRPr="0086360E">
          <w:rPr>
            <w:rStyle w:val="Hyperlink"/>
            <w:szCs w:val="24"/>
          </w:rPr>
          <w:t>https://doi.org/10.1016/j.heliyon.2024.e24130</w:t>
        </w:r>
      </w:hyperlink>
    </w:p>
    <w:p w14:paraId="33D891DB"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Madhavaiah</w:t>
      </w:r>
      <w:proofErr w:type="spellEnd"/>
      <w:r w:rsidRPr="0086360E">
        <w:rPr>
          <w:rFonts w:cs="Times New Roman"/>
          <w:szCs w:val="24"/>
        </w:rPr>
        <w:t xml:space="preserve">, C., &amp; Durga Rao, M. (2007). Relationship marketing: Conceptual and functional perspectives. </w:t>
      </w:r>
      <w:r w:rsidRPr="0086360E">
        <w:rPr>
          <w:rFonts w:eastAsia="SimSun" w:cs="Times New Roman"/>
          <w:i/>
          <w:iCs/>
          <w:szCs w:val="24"/>
        </w:rPr>
        <w:t>ICFAI Journal of Services Marketing, 5</w:t>
      </w:r>
      <w:r w:rsidRPr="0086360E">
        <w:rPr>
          <w:rFonts w:cs="Times New Roman"/>
          <w:szCs w:val="24"/>
        </w:rPr>
        <w:t>(4), 6–21.</w:t>
      </w:r>
    </w:p>
    <w:p w14:paraId="16603ABB"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Mohamed, H., Yusuf, A., &amp; Warsame, M. (2024). Conflict resolution tactics and organizational performance in Somali organizations. </w:t>
      </w:r>
      <w:r w:rsidRPr="0086360E">
        <w:rPr>
          <w:rFonts w:eastAsia="SimSun" w:cs="Times New Roman"/>
          <w:i/>
          <w:iCs/>
          <w:szCs w:val="24"/>
        </w:rPr>
        <w:t>African Journal of Management, 10</w:t>
      </w:r>
      <w:r w:rsidRPr="0086360E">
        <w:rPr>
          <w:rFonts w:cs="Times New Roman"/>
          <w:szCs w:val="24"/>
        </w:rPr>
        <w:t>(2), 145–160.</w:t>
      </w:r>
    </w:p>
    <w:p w14:paraId="04B9C5F2"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Molm</w:t>
      </w:r>
      <w:proofErr w:type="spellEnd"/>
      <w:r w:rsidRPr="0086360E">
        <w:rPr>
          <w:rFonts w:cs="Times New Roman"/>
          <w:szCs w:val="24"/>
        </w:rPr>
        <w:t xml:space="preserve">, L. D. (2018). Social exchange theory. In P. J. Burke (Ed.), </w:t>
      </w:r>
      <w:r w:rsidRPr="0086360E">
        <w:rPr>
          <w:rFonts w:eastAsia="SimSun" w:cs="Times New Roman"/>
          <w:i/>
          <w:iCs/>
          <w:szCs w:val="24"/>
        </w:rPr>
        <w:t>Contemporary social psychological theories</w:t>
      </w:r>
      <w:r w:rsidRPr="0086360E">
        <w:rPr>
          <w:rFonts w:cs="Times New Roman"/>
          <w:szCs w:val="24"/>
        </w:rPr>
        <w:t xml:space="preserve"> (2nd ed., pp. 91–116). Stanford University Press.</w:t>
      </w:r>
    </w:p>
    <w:p w14:paraId="65EB7641"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Moorman, C., Zaltman, G., &amp;</w:t>
      </w:r>
      <w:proofErr w:type="spellStart"/>
      <w:r w:rsidRPr="0086360E">
        <w:rPr>
          <w:rFonts w:cs="Times New Roman"/>
          <w:szCs w:val="24"/>
        </w:rPr>
        <w:t>Deshpandé</w:t>
      </w:r>
      <w:proofErr w:type="spellEnd"/>
      <w:r w:rsidRPr="0086360E">
        <w:rPr>
          <w:rFonts w:cs="Times New Roman"/>
          <w:szCs w:val="24"/>
        </w:rPr>
        <w:t xml:space="preserve">, R. (1992). Relationships between providers and users of market research: The dynamics of trust within and between organizations. </w:t>
      </w:r>
      <w:r w:rsidRPr="0086360E">
        <w:rPr>
          <w:rFonts w:eastAsia="SimSun" w:cs="Times New Roman"/>
          <w:i/>
          <w:iCs/>
          <w:szCs w:val="24"/>
        </w:rPr>
        <w:t>Journal of Marketing Research, 29</w:t>
      </w:r>
      <w:r w:rsidRPr="0086360E">
        <w:rPr>
          <w:rFonts w:cs="Times New Roman"/>
          <w:szCs w:val="24"/>
        </w:rPr>
        <w:t>(3), 314–328. https://doi.org/10.1177/002224379202900303</w:t>
      </w:r>
    </w:p>
    <w:p w14:paraId="1524954D"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Morgan, R. M., &amp; Hunt, S. D. (1994). The commitment-trust theory of relationship marketing. </w:t>
      </w:r>
      <w:r w:rsidRPr="0086360E">
        <w:rPr>
          <w:rFonts w:eastAsia="SimSun" w:cs="Times New Roman"/>
          <w:i/>
          <w:iCs/>
          <w:szCs w:val="24"/>
        </w:rPr>
        <w:t>Journal of Marketing, 58</w:t>
      </w:r>
      <w:r w:rsidRPr="0086360E">
        <w:rPr>
          <w:rFonts w:cs="Times New Roman"/>
          <w:szCs w:val="24"/>
        </w:rPr>
        <w:t>(3), 20–38. https://doi.org/10.1177/002224299405800302</w:t>
      </w:r>
    </w:p>
    <w:p w14:paraId="37805DDA"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Mosa, R. A. (2022). The influence of e-customer relationship management on customer experience in e-banking service. </w:t>
      </w:r>
      <w:r w:rsidRPr="0086360E">
        <w:rPr>
          <w:rFonts w:cs="Times New Roman"/>
          <w:i/>
          <w:iCs/>
          <w:szCs w:val="24"/>
        </w:rPr>
        <w:t>International Journal of Academic Research in Business and Social Sciences, 12</w:t>
      </w:r>
      <w:r w:rsidRPr="0086360E">
        <w:rPr>
          <w:rFonts w:cs="Times New Roman"/>
          <w:szCs w:val="24"/>
        </w:rPr>
        <w:t>(2), 193–215. https://doi.org/10.6007/IJARBSS/v12-i2/12195</w:t>
      </w:r>
    </w:p>
    <w:p w14:paraId="529D347C"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Mujajati, T., Ferreira, N., &amp; du Plessis, Y. (2024). Psychological resources and organizational commitment: Evidence from private sector employees in South Africa. </w:t>
      </w:r>
      <w:r w:rsidRPr="0086360E">
        <w:rPr>
          <w:rFonts w:eastAsia="SimSun" w:cs="Times New Roman"/>
          <w:i/>
          <w:iCs/>
          <w:szCs w:val="24"/>
        </w:rPr>
        <w:t>South African Journal of Human Resource Management, 22</w:t>
      </w:r>
      <w:r w:rsidRPr="0086360E">
        <w:rPr>
          <w:rFonts w:cs="Times New Roman"/>
          <w:szCs w:val="24"/>
        </w:rPr>
        <w:t>(1), 1–11. https://doi.org/10.4102/sajhrm.v22i0.2205</w:t>
      </w:r>
    </w:p>
    <w:p w14:paraId="73F34D0A"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lastRenderedPageBreak/>
        <w:t>Narteh</w:t>
      </w:r>
      <w:proofErr w:type="spellEnd"/>
      <w:r w:rsidRPr="0086360E">
        <w:rPr>
          <w:rFonts w:cs="Times New Roman"/>
          <w:szCs w:val="24"/>
        </w:rPr>
        <w:t xml:space="preserve">, B. (2018). Service quality and customer satisfaction in Ghanaian retail banks: The moderating role of price. </w:t>
      </w:r>
      <w:r w:rsidRPr="0086360E">
        <w:rPr>
          <w:rFonts w:eastAsia="SimSun" w:cs="Times New Roman"/>
          <w:i/>
          <w:iCs/>
          <w:szCs w:val="24"/>
        </w:rPr>
        <w:t>International Journal of Bank Marketing, 36</w:t>
      </w:r>
      <w:r w:rsidRPr="0086360E">
        <w:rPr>
          <w:rFonts w:cs="Times New Roman"/>
          <w:szCs w:val="24"/>
        </w:rPr>
        <w:t>(1), 68–88. https://doi.org/10.1108/IJBM-08-2016-0118</w:t>
      </w:r>
    </w:p>
    <w:p w14:paraId="57DF6A39"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Ndu</w:t>
      </w:r>
      <w:proofErr w:type="spellEnd"/>
      <w:r w:rsidRPr="0086360E">
        <w:rPr>
          <w:rFonts w:cs="Times New Roman"/>
          <w:szCs w:val="24"/>
        </w:rPr>
        <w:t xml:space="preserve"> Oko, S., &amp; Kalu, I. E. (2014). Impact of relationship marketing on customer loyalty: A case study of Nigerian banks. </w:t>
      </w:r>
      <w:r w:rsidRPr="0086360E">
        <w:rPr>
          <w:rFonts w:eastAsia="SimSun" w:cs="Times New Roman"/>
          <w:i/>
          <w:iCs/>
          <w:szCs w:val="24"/>
        </w:rPr>
        <w:t>Journal of Business and Management, 16</w:t>
      </w:r>
      <w:r w:rsidRPr="0086360E">
        <w:rPr>
          <w:rFonts w:cs="Times New Roman"/>
          <w:szCs w:val="24"/>
        </w:rPr>
        <w:t>(4), 67–71. https://doi.org/10.9790/487X-16426771</w:t>
      </w:r>
    </w:p>
    <w:p w14:paraId="30FAF4A2"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Ndubisi, N. O. (2007). Relationship marketing and customer loyalty. </w:t>
      </w:r>
      <w:r w:rsidRPr="0086360E">
        <w:rPr>
          <w:rFonts w:eastAsia="SimSun" w:cs="Times New Roman"/>
          <w:i/>
          <w:iCs/>
          <w:szCs w:val="24"/>
        </w:rPr>
        <w:t>Marketing Intelligence &amp; Planning, 25</w:t>
      </w:r>
      <w:r w:rsidRPr="0086360E">
        <w:rPr>
          <w:rFonts w:cs="Times New Roman"/>
          <w:szCs w:val="24"/>
        </w:rPr>
        <w:t>(1), 98–106. https://doi.org/10.1108/02634500710722425</w:t>
      </w:r>
    </w:p>
    <w:p w14:paraId="2687C238"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Nguyen, B., &amp;</w:t>
      </w:r>
      <w:proofErr w:type="spellStart"/>
      <w:r w:rsidRPr="0086360E">
        <w:rPr>
          <w:rFonts w:cs="Times New Roman"/>
          <w:szCs w:val="24"/>
        </w:rPr>
        <w:t>Mutum</w:t>
      </w:r>
      <w:proofErr w:type="spellEnd"/>
      <w:r w:rsidRPr="0086360E">
        <w:rPr>
          <w:rFonts w:cs="Times New Roman"/>
          <w:szCs w:val="24"/>
        </w:rPr>
        <w:t xml:space="preserve">, D. S. (2019). A review of customer relationship management: Successes, advances, pitfalls and futures. </w:t>
      </w:r>
      <w:r w:rsidRPr="0086360E">
        <w:rPr>
          <w:rFonts w:eastAsia="SimSun" w:cs="Times New Roman"/>
          <w:i/>
          <w:iCs/>
          <w:szCs w:val="24"/>
        </w:rPr>
        <w:t>Business Process Management Journal, 25</w:t>
      </w:r>
      <w:r w:rsidRPr="0086360E">
        <w:rPr>
          <w:rFonts w:cs="Times New Roman"/>
          <w:szCs w:val="24"/>
        </w:rPr>
        <w:t>(1), 185–206. https://doi.org/10.1108/BPMJ-11-2017-0330</w:t>
      </w:r>
    </w:p>
    <w:p w14:paraId="4132B03E"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Nguyen, D. T. (2024). Competition and bank financial stability: Evidence from an emerging market. </w:t>
      </w:r>
      <w:r w:rsidRPr="0086360E">
        <w:rPr>
          <w:rFonts w:eastAsia="SimSun" w:cs="Times New Roman"/>
          <w:i/>
          <w:iCs/>
          <w:szCs w:val="24"/>
        </w:rPr>
        <w:t>Cogent Economics &amp; Finance, 12</w:t>
      </w:r>
      <w:r w:rsidRPr="0086360E">
        <w:rPr>
          <w:rFonts w:cs="Times New Roman"/>
          <w:szCs w:val="24"/>
        </w:rPr>
        <w:t>(1), Article 2365422. https://doi.org/10.1080/23311975.2024.2365422</w:t>
      </w:r>
    </w:p>
    <w:p w14:paraId="50A00274"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Nguyen, T. H., Simkin, L., &amp;</w:t>
      </w:r>
      <w:proofErr w:type="spellStart"/>
      <w:r w:rsidRPr="0086360E">
        <w:rPr>
          <w:rFonts w:cs="Times New Roman"/>
          <w:szCs w:val="24"/>
        </w:rPr>
        <w:t>Canhoto</w:t>
      </w:r>
      <w:proofErr w:type="spellEnd"/>
      <w:r w:rsidRPr="0086360E">
        <w:rPr>
          <w:rFonts w:cs="Times New Roman"/>
          <w:szCs w:val="24"/>
        </w:rPr>
        <w:t xml:space="preserve">, A. (2020). The dark side of CRM: Advantaged and disadvantaged customers. </w:t>
      </w:r>
      <w:r w:rsidRPr="0086360E">
        <w:rPr>
          <w:rFonts w:eastAsia="SimSun" w:cs="Times New Roman"/>
          <w:i/>
          <w:iCs/>
          <w:szCs w:val="24"/>
        </w:rPr>
        <w:t>Journal of Business Research, 118,</w:t>
      </w:r>
      <w:r w:rsidRPr="0086360E">
        <w:rPr>
          <w:rFonts w:cs="Times New Roman"/>
          <w:szCs w:val="24"/>
        </w:rPr>
        <w:t xml:space="preserve"> 62–73. https://doi.org/10.1016/j.jbusres.2020.06.055</w:t>
      </w:r>
    </w:p>
    <w:p w14:paraId="258B045E"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Nwenekorum</w:t>
      </w:r>
      <w:proofErr w:type="spellEnd"/>
      <w:r w:rsidRPr="0086360E">
        <w:rPr>
          <w:rFonts w:cs="Times New Roman"/>
          <w:szCs w:val="24"/>
        </w:rPr>
        <w:t xml:space="preserve">, C. N., Orga, C. J., &amp; Nnamani, J. O. (2022). Organizational trust and employee performance of Nigerian Agip Oil Company Limited. </w:t>
      </w:r>
      <w:r w:rsidRPr="0086360E">
        <w:rPr>
          <w:rFonts w:eastAsia="SimSun" w:cs="Times New Roman"/>
          <w:i/>
          <w:iCs/>
          <w:szCs w:val="24"/>
        </w:rPr>
        <w:t>International Journal of Management and Applied Research, 9</w:t>
      </w:r>
      <w:r w:rsidRPr="0086360E">
        <w:rPr>
          <w:rFonts w:cs="Times New Roman"/>
          <w:szCs w:val="24"/>
        </w:rPr>
        <w:t>(4), 66–75.</w:t>
      </w:r>
    </w:p>
    <w:p w14:paraId="61335706"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O’Malley, L., &amp; Tynan, C. (2000). Relationship marketing in consumer markets: Rhetoric or reality? </w:t>
      </w:r>
      <w:r w:rsidRPr="0086360E">
        <w:rPr>
          <w:rFonts w:eastAsia="SimSun" w:cs="Times New Roman"/>
          <w:i/>
          <w:iCs/>
          <w:szCs w:val="24"/>
        </w:rPr>
        <w:t>European Journal of Marketing, 34</w:t>
      </w:r>
      <w:r w:rsidRPr="0086360E">
        <w:rPr>
          <w:rFonts w:cs="Times New Roman"/>
          <w:szCs w:val="24"/>
        </w:rPr>
        <w:t>(7), 797–815. https://doi.org/10.1108/03090560010331295</w:t>
      </w:r>
    </w:p>
    <w:p w14:paraId="099E68F6"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banking, and customer trust on customer loyalty. </w:t>
      </w:r>
      <w:r w:rsidRPr="0086360E">
        <w:rPr>
          <w:rFonts w:eastAsia="SimSun" w:cs="Times New Roman"/>
          <w:i/>
          <w:iCs/>
          <w:szCs w:val="24"/>
        </w:rPr>
        <w:t>Banking and Finance Research Journal</w:t>
      </w:r>
      <w:r w:rsidRPr="0086360E">
        <w:rPr>
          <w:rFonts w:cs="Times New Roman"/>
          <w:szCs w:val="24"/>
        </w:rPr>
        <w:t>.</w:t>
      </w:r>
    </w:p>
    <w:p w14:paraId="1D2D4870"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Ramesh, K., Srivastava, A., &amp; Khatri, N. (2022). Social trust, corporate social responsibility, and firm performance: Evidence from the COVID-19 crisis. </w:t>
      </w:r>
      <w:r w:rsidRPr="0086360E">
        <w:rPr>
          <w:rFonts w:eastAsia="SimSun" w:cs="Times New Roman"/>
          <w:i/>
          <w:iCs/>
          <w:szCs w:val="24"/>
        </w:rPr>
        <w:t>Journal of Business Ethics, 179</w:t>
      </w:r>
      <w:r w:rsidRPr="0086360E">
        <w:rPr>
          <w:rFonts w:cs="Times New Roman"/>
          <w:szCs w:val="24"/>
        </w:rPr>
        <w:t>(2), 395–414. https://doi.org/10.1007/s10551-021-04912-4</w:t>
      </w:r>
    </w:p>
    <w:p w14:paraId="6D40A476"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Rather, R. A. (2021). Demystifying the effects of perceived service quality, customer satisfaction, and loyalty: A moderated mediation approach. </w:t>
      </w:r>
      <w:r w:rsidRPr="0086360E">
        <w:rPr>
          <w:rFonts w:eastAsia="SimSun" w:cs="Times New Roman"/>
          <w:i/>
          <w:iCs/>
          <w:szCs w:val="24"/>
        </w:rPr>
        <w:t>Journal of Hospitality Marketing &amp; Management, 30</w:t>
      </w:r>
      <w:r w:rsidRPr="0086360E">
        <w:rPr>
          <w:rFonts w:cs="Times New Roman"/>
          <w:szCs w:val="24"/>
        </w:rPr>
        <w:t>(5), 529–556. https://doi.org/10.1080/19368623.2021.1847438</w:t>
      </w:r>
    </w:p>
    <w:p w14:paraId="63F23069"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Rather, R. A., &amp; Camilleri, M. A. (2019). The outcomes of customer engagement in tourism and hospitality: A meta-analysis. </w:t>
      </w:r>
      <w:r w:rsidRPr="0086360E">
        <w:rPr>
          <w:rFonts w:eastAsia="SimSun" w:cs="Times New Roman"/>
          <w:i/>
          <w:iCs/>
          <w:szCs w:val="24"/>
        </w:rPr>
        <w:t>Journal of Hospitality Marketing &amp; Management, 28</w:t>
      </w:r>
      <w:r w:rsidRPr="0086360E">
        <w:rPr>
          <w:rFonts w:cs="Times New Roman"/>
          <w:szCs w:val="24"/>
        </w:rPr>
        <w:t>(3), 291–309. https://doi.org/10.1080/19368623.2018.1516588</w:t>
      </w:r>
    </w:p>
    <w:p w14:paraId="5D381B90"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Roberts-Lombard, M. (2013). The influence of trust, commitment and conflict-handling on customer loyalty: A parallel investigation. </w:t>
      </w:r>
      <w:r w:rsidRPr="0086360E">
        <w:rPr>
          <w:rFonts w:cs="Times New Roman"/>
          <w:i/>
          <w:iCs/>
          <w:szCs w:val="24"/>
        </w:rPr>
        <w:t>Journal of Economic and Financial Sciences, 6</w:t>
      </w:r>
      <w:r w:rsidRPr="0086360E">
        <w:rPr>
          <w:rFonts w:cs="Times New Roman"/>
          <w:szCs w:val="24"/>
        </w:rPr>
        <w:t xml:space="preserve">(1), 195–216. </w:t>
      </w:r>
      <w:hyperlink r:id="rId9" w:tgtFrame="_new" w:history="1">
        <w:r w:rsidRPr="0086360E">
          <w:rPr>
            <w:rStyle w:val="Hyperlink"/>
            <w:szCs w:val="24"/>
          </w:rPr>
          <w:t>https://doi.org/10.4102/jef.v6i1.284</w:t>
        </w:r>
      </w:hyperlink>
    </w:p>
    <w:p w14:paraId="4C8640F9"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lastRenderedPageBreak/>
        <w:t xml:space="preserve">Roberts-Lombard, M. (2022). Investigating the antecedents and outcomes of commitment in the banking industry. </w:t>
      </w:r>
      <w:r w:rsidRPr="0086360E">
        <w:rPr>
          <w:rFonts w:eastAsia="SimSun" w:cs="Times New Roman"/>
          <w:i/>
          <w:iCs/>
          <w:szCs w:val="24"/>
        </w:rPr>
        <w:t>South African Journal of Business Management, 53</w:t>
      </w:r>
      <w:r w:rsidRPr="0086360E">
        <w:rPr>
          <w:rFonts w:cs="Times New Roman"/>
          <w:szCs w:val="24"/>
        </w:rPr>
        <w:t>(1), 1–12. https://doi.org/10.4102/sajbm.v53i1.1298</w:t>
      </w:r>
    </w:p>
    <w:p w14:paraId="55776C3E"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Rotter, J. B. (1967). A new scale for the measurement of interpersonal trust. </w:t>
      </w:r>
      <w:r w:rsidRPr="0086360E">
        <w:rPr>
          <w:rFonts w:eastAsia="SimSun" w:cs="Times New Roman"/>
          <w:i/>
          <w:iCs/>
          <w:szCs w:val="24"/>
        </w:rPr>
        <w:t>Journal of Personality, 35</w:t>
      </w:r>
      <w:r w:rsidRPr="0086360E">
        <w:rPr>
          <w:rFonts w:cs="Times New Roman"/>
          <w:szCs w:val="24"/>
        </w:rPr>
        <w:t>(4), 651–665. https://doi.org/10.1111/j.1467-6494.1967.tb01454.x</w:t>
      </w:r>
    </w:p>
    <w:p w14:paraId="618073EB"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Salami, S. O., &amp;</w:t>
      </w:r>
      <w:proofErr w:type="spellStart"/>
      <w:r w:rsidRPr="0086360E">
        <w:rPr>
          <w:rFonts w:cs="Times New Roman"/>
          <w:szCs w:val="24"/>
        </w:rPr>
        <w:t>Ososuakpor</w:t>
      </w:r>
      <w:proofErr w:type="spellEnd"/>
      <w:r w:rsidRPr="0086360E">
        <w:rPr>
          <w:rFonts w:cs="Times New Roman"/>
          <w:szCs w:val="24"/>
        </w:rPr>
        <w:t xml:space="preserve">, F. (2022). Conflict management and organizational performance in Nigerian organizations. </w:t>
      </w:r>
      <w:r w:rsidRPr="0086360E">
        <w:rPr>
          <w:rFonts w:eastAsia="SimSun" w:cs="Times New Roman"/>
          <w:i/>
          <w:iCs/>
          <w:szCs w:val="24"/>
        </w:rPr>
        <w:t>Nigerian Journal of Industrial Relations, 15</w:t>
      </w:r>
      <w:r w:rsidRPr="0086360E">
        <w:rPr>
          <w:rFonts w:cs="Times New Roman"/>
          <w:szCs w:val="24"/>
        </w:rPr>
        <w:t>(1), 22–36.</w:t>
      </w:r>
    </w:p>
    <w:p w14:paraId="17EBDFB5"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Sammour, R. (2022). </w:t>
      </w:r>
      <w:r w:rsidRPr="0086360E">
        <w:rPr>
          <w:rFonts w:cs="Times New Roman"/>
          <w:i/>
          <w:iCs/>
          <w:szCs w:val="24"/>
        </w:rPr>
        <w:t>Strategies to manage customer complaints</w:t>
      </w:r>
      <w:r w:rsidRPr="0086360E">
        <w:rPr>
          <w:rFonts w:cs="Times New Roman"/>
          <w:szCs w:val="24"/>
        </w:rPr>
        <w:t xml:space="preserve"> (Doctoral dissertation, Walden University). Walden Dissertations and Doctoral Studies.</w:t>
      </w:r>
    </w:p>
    <w:p w14:paraId="4EF1D45B"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Tai, D., Tiep, N., The, V., Tuan, N., &amp; Dat, T. (2024). The impact of organizational commitment on business performance in private enterprises in Nghe An Province, Viet Nam. </w:t>
      </w:r>
      <w:r w:rsidRPr="0086360E">
        <w:rPr>
          <w:rFonts w:cs="Times New Roman"/>
          <w:i/>
          <w:iCs/>
          <w:szCs w:val="24"/>
        </w:rPr>
        <w:t>Modern Economy, 15</w:t>
      </w:r>
      <w:r w:rsidRPr="0086360E">
        <w:rPr>
          <w:rFonts w:cs="Times New Roman"/>
          <w:szCs w:val="24"/>
        </w:rPr>
        <w:t>, 474–491. https://doi.org/10.4236/me.2024.154024</w:t>
      </w:r>
    </w:p>
    <w:p w14:paraId="2E6C8A57"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Uddin, G., </w:t>
      </w:r>
      <w:proofErr w:type="spellStart"/>
      <w:r w:rsidRPr="0086360E">
        <w:rPr>
          <w:rFonts w:cs="Times New Roman"/>
          <w:szCs w:val="24"/>
        </w:rPr>
        <w:t>Ashogbon</w:t>
      </w:r>
      <w:proofErr w:type="spellEnd"/>
      <w:r w:rsidRPr="0086360E">
        <w:rPr>
          <w:rFonts w:cs="Times New Roman"/>
          <w:szCs w:val="24"/>
        </w:rPr>
        <w:t xml:space="preserve">, B., Martins, B., Momoh, O., </w:t>
      </w:r>
      <w:proofErr w:type="spellStart"/>
      <w:r w:rsidRPr="0086360E">
        <w:rPr>
          <w:rFonts w:cs="Times New Roman"/>
          <w:szCs w:val="24"/>
        </w:rPr>
        <w:t>Agbonrofo</w:t>
      </w:r>
      <w:proofErr w:type="spellEnd"/>
      <w:r w:rsidRPr="0086360E">
        <w:rPr>
          <w:rFonts w:cs="Times New Roman"/>
          <w:szCs w:val="24"/>
        </w:rPr>
        <w:t>, H. E., Alika, S., &amp;</w:t>
      </w:r>
      <w:proofErr w:type="spellStart"/>
      <w:r w:rsidRPr="0086360E">
        <w:rPr>
          <w:rFonts w:cs="Times New Roman"/>
          <w:szCs w:val="24"/>
        </w:rPr>
        <w:t>Oserei</w:t>
      </w:r>
      <w:proofErr w:type="spellEnd"/>
      <w:r w:rsidRPr="0086360E">
        <w:rPr>
          <w:rFonts w:cs="Times New Roman"/>
          <w:szCs w:val="24"/>
        </w:rPr>
        <w:t xml:space="preserve">, K. (2021). The banking sector and national economy. </w:t>
      </w:r>
      <w:r w:rsidRPr="0086360E">
        <w:rPr>
          <w:rFonts w:cs="Times New Roman"/>
          <w:i/>
          <w:iCs/>
          <w:szCs w:val="24"/>
        </w:rPr>
        <w:t>SSRN Electronic Journal</w:t>
      </w:r>
      <w:r w:rsidRPr="0086360E">
        <w:rPr>
          <w:rFonts w:cs="Times New Roman"/>
          <w:szCs w:val="24"/>
        </w:rPr>
        <w:t xml:space="preserve">. </w:t>
      </w:r>
      <w:hyperlink r:id="rId10" w:tgtFrame="_new" w:history="1">
        <w:r w:rsidRPr="0086360E">
          <w:rPr>
            <w:rStyle w:val="Hyperlink"/>
            <w:szCs w:val="24"/>
          </w:rPr>
          <w:t>https://doi.org/10.2139/ssrn.3773912</w:t>
        </w:r>
      </w:hyperlink>
    </w:p>
    <w:p w14:paraId="1503F8EF"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Ugbomhe</w:t>
      </w:r>
      <w:proofErr w:type="spellEnd"/>
      <w:r w:rsidRPr="0086360E">
        <w:rPr>
          <w:rFonts w:cs="Times New Roman"/>
          <w:szCs w:val="24"/>
        </w:rPr>
        <w:t xml:space="preserve">, O. M., &amp; Ojo, F. (2023). Macro-level conflict handling techniques and organizational performance: Evidence from a Nigerian university. </w:t>
      </w:r>
      <w:r w:rsidRPr="0086360E">
        <w:rPr>
          <w:rFonts w:eastAsia="SimSun" w:cs="Times New Roman"/>
          <w:i/>
          <w:iCs/>
          <w:szCs w:val="24"/>
        </w:rPr>
        <w:t>Journal of Education and Human Development, 12</w:t>
      </w:r>
      <w:r w:rsidRPr="0086360E">
        <w:rPr>
          <w:rFonts w:cs="Times New Roman"/>
          <w:szCs w:val="24"/>
        </w:rPr>
        <w:t>(2), 21–34.</w:t>
      </w:r>
    </w:p>
    <w:p w14:paraId="5471ADAF"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Vieira, A. L., </w:t>
      </w:r>
      <w:proofErr w:type="spellStart"/>
      <w:r w:rsidRPr="0086360E">
        <w:rPr>
          <w:rFonts w:cs="Times New Roman"/>
          <w:szCs w:val="24"/>
        </w:rPr>
        <w:t>Winklhofer</w:t>
      </w:r>
      <w:proofErr w:type="spellEnd"/>
      <w:r w:rsidRPr="0086360E">
        <w:rPr>
          <w:rFonts w:cs="Times New Roman"/>
          <w:szCs w:val="24"/>
        </w:rPr>
        <w:t>, H., &amp;</w:t>
      </w:r>
      <w:proofErr w:type="spellStart"/>
      <w:r w:rsidRPr="0086360E">
        <w:rPr>
          <w:rFonts w:cs="Times New Roman"/>
          <w:szCs w:val="24"/>
        </w:rPr>
        <w:t>Ennew</w:t>
      </w:r>
      <w:proofErr w:type="spellEnd"/>
      <w:r w:rsidRPr="0086360E">
        <w:rPr>
          <w:rFonts w:cs="Times New Roman"/>
          <w:szCs w:val="24"/>
        </w:rPr>
        <w:t xml:space="preserve">, C. T. (2020). The effects of relationship marketing on firm performance: A meta-analysis. </w:t>
      </w:r>
      <w:r w:rsidRPr="0086360E">
        <w:rPr>
          <w:rFonts w:eastAsia="SimSun" w:cs="Times New Roman"/>
          <w:i/>
          <w:iCs/>
          <w:szCs w:val="24"/>
        </w:rPr>
        <w:t>Journal of Marketing Research, 57</w:t>
      </w:r>
      <w:r w:rsidRPr="0086360E">
        <w:rPr>
          <w:rFonts w:cs="Times New Roman"/>
          <w:szCs w:val="24"/>
        </w:rPr>
        <w:t>(5), 845–865. https://doi.org/10.1177/0022243720937377</w:t>
      </w:r>
    </w:p>
    <w:p w14:paraId="2820E9A5"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Vieira, A. L., </w:t>
      </w:r>
      <w:proofErr w:type="spellStart"/>
      <w:r w:rsidRPr="0086360E">
        <w:rPr>
          <w:rFonts w:cs="Times New Roman"/>
          <w:szCs w:val="24"/>
        </w:rPr>
        <w:t>Winklhofer</w:t>
      </w:r>
      <w:proofErr w:type="spellEnd"/>
      <w:r w:rsidRPr="0086360E">
        <w:rPr>
          <w:rFonts w:cs="Times New Roman"/>
          <w:szCs w:val="24"/>
        </w:rPr>
        <w:t>, H., &amp;</w:t>
      </w:r>
      <w:proofErr w:type="spellStart"/>
      <w:r w:rsidRPr="0086360E">
        <w:rPr>
          <w:rFonts w:cs="Times New Roman"/>
          <w:szCs w:val="24"/>
        </w:rPr>
        <w:t>Ennew</w:t>
      </w:r>
      <w:proofErr w:type="spellEnd"/>
      <w:r w:rsidRPr="0086360E">
        <w:rPr>
          <w:rFonts w:cs="Times New Roman"/>
          <w:szCs w:val="24"/>
        </w:rPr>
        <w:t xml:space="preserve">, C. T. (2020). The effects of relationship marketing on firm performance: A meta-analysis. </w:t>
      </w:r>
      <w:r w:rsidRPr="0086360E">
        <w:rPr>
          <w:rFonts w:eastAsia="SimSun" w:cs="Times New Roman"/>
          <w:i/>
          <w:iCs/>
          <w:szCs w:val="24"/>
        </w:rPr>
        <w:t>Journal of Marketing Research, 57</w:t>
      </w:r>
      <w:r w:rsidRPr="0086360E">
        <w:rPr>
          <w:rFonts w:cs="Times New Roman"/>
          <w:szCs w:val="24"/>
        </w:rPr>
        <w:t>(5), 845–865. https://doi.org/10.1177/0022243720937377</w:t>
      </w:r>
    </w:p>
    <w:p w14:paraId="11B014F8"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Vučković, V., Arsić, M., &amp; Jovanović, S. (2023). Interpersonal and institutional trust as drivers of firm performance in Western Balkans. </w:t>
      </w:r>
      <w:r w:rsidRPr="0086360E">
        <w:rPr>
          <w:rFonts w:eastAsia="SimSun" w:cs="Times New Roman"/>
          <w:i/>
          <w:iCs/>
          <w:szCs w:val="24"/>
        </w:rPr>
        <w:t>Economic Annals, 68</w:t>
      </w:r>
      <w:r w:rsidRPr="0086360E">
        <w:rPr>
          <w:rFonts w:cs="Times New Roman"/>
          <w:szCs w:val="24"/>
        </w:rPr>
        <w:t>(236), 7–30. https://doi.org/10.2298/EKA2336007V</w:t>
      </w:r>
    </w:p>
    <w:p w14:paraId="2B212026"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Wang, X., &amp; Cheng, Z. (2020). Cross-sectional studies: Strengths, weaknesses, and recommendations. </w:t>
      </w:r>
      <w:r w:rsidRPr="0086360E">
        <w:rPr>
          <w:rFonts w:eastAsia="SimSun" w:cs="Times New Roman"/>
          <w:i/>
          <w:iCs/>
          <w:szCs w:val="24"/>
        </w:rPr>
        <w:t>Chest, 158</w:t>
      </w:r>
      <w:r w:rsidRPr="0086360E">
        <w:rPr>
          <w:rFonts w:cs="Times New Roman"/>
          <w:szCs w:val="24"/>
        </w:rPr>
        <w:t xml:space="preserve">(1 S), S65-S71. </w:t>
      </w:r>
      <w:hyperlink r:id="rId11" w:tgtFrame="_new" w:history="1">
        <w:r w:rsidRPr="0086360E">
          <w:rPr>
            <w:rStyle w:val="Hyperlink"/>
            <w:rFonts w:eastAsia="SimSun"/>
            <w:szCs w:val="24"/>
          </w:rPr>
          <w:t>https://doi.org/10.1016/j.chest.2020.03.012</w:t>
        </w:r>
      </w:hyperlink>
    </w:p>
    <w:p w14:paraId="30DB122B"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Waters, R. D. (2008). Applying relationship management theory to the fundraising process for individual donors. </w:t>
      </w:r>
      <w:r w:rsidRPr="0086360E">
        <w:rPr>
          <w:rFonts w:eastAsia="SimSun" w:cs="Times New Roman"/>
          <w:i/>
          <w:iCs/>
          <w:szCs w:val="24"/>
        </w:rPr>
        <w:t>Journal of Communication Management, 12</w:t>
      </w:r>
      <w:r w:rsidRPr="0086360E">
        <w:rPr>
          <w:rFonts w:cs="Times New Roman"/>
          <w:szCs w:val="24"/>
        </w:rPr>
        <w:t>(1), 73–87. https://doi.org/10.1108/13632540810854244</w:t>
      </w:r>
    </w:p>
    <w:p w14:paraId="5F54D695"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Wojtczuk-Turek, A. (2024). Human resource management practices, job crafting, and organizational commitment: Evidence from knowledge workers. </w:t>
      </w:r>
      <w:r w:rsidRPr="0086360E">
        <w:rPr>
          <w:rFonts w:eastAsia="SimSun" w:cs="Times New Roman"/>
          <w:i/>
          <w:iCs/>
          <w:szCs w:val="24"/>
        </w:rPr>
        <w:t>Employee Relations, 46</w:t>
      </w:r>
      <w:r w:rsidRPr="0086360E">
        <w:rPr>
          <w:rFonts w:cs="Times New Roman"/>
          <w:szCs w:val="24"/>
        </w:rPr>
        <w:t>(2), 401–418. https://doi.org/10.1108/ER-05-2023-0201</w:t>
      </w:r>
    </w:p>
    <w:p w14:paraId="54B8FF99"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lastRenderedPageBreak/>
        <w:t xml:space="preserve">World Bank. (2023). </w:t>
      </w:r>
      <w:r w:rsidRPr="0086360E">
        <w:rPr>
          <w:rFonts w:eastAsia="SimSun" w:cs="Times New Roman"/>
          <w:i/>
          <w:iCs/>
          <w:szCs w:val="24"/>
        </w:rPr>
        <w:t>Lagos diagnostic study and pathway for transformation: A rapid multi-sector analytical review of the megacity</w:t>
      </w:r>
      <w:r w:rsidRPr="0086360E">
        <w:rPr>
          <w:rFonts w:cs="Times New Roman"/>
          <w:szCs w:val="24"/>
        </w:rPr>
        <w:t xml:space="preserve"> (Report No. P1750310). </w:t>
      </w:r>
      <w:hyperlink r:id="rId12" w:tgtFrame="_new" w:history="1">
        <w:r w:rsidRPr="0086360E">
          <w:rPr>
            <w:rStyle w:val="Hyperlink"/>
            <w:rFonts w:eastAsia="SimSun"/>
            <w:szCs w:val="24"/>
          </w:rPr>
          <w:t>https://documents1.worldbank.org/curated/en/099062123034023646/pdf/P1750310c8d0390000afa70e5c583aa3b87.pdf</w:t>
        </w:r>
      </w:hyperlink>
    </w:p>
    <w:p w14:paraId="583278E2"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Yousaf, Z., Radulescu, M., &amp; Ali, A. (2022). The impact of over-commitment on innovation performance: Evidence from SMEs. </w:t>
      </w:r>
      <w:r w:rsidRPr="0086360E">
        <w:rPr>
          <w:rFonts w:eastAsia="SimSun" w:cs="Times New Roman"/>
          <w:i/>
          <w:iCs/>
          <w:szCs w:val="24"/>
        </w:rPr>
        <w:t>Technological Forecasting and Social Change, 174,</w:t>
      </w:r>
      <w:r w:rsidRPr="0086360E">
        <w:rPr>
          <w:rFonts w:cs="Times New Roman"/>
          <w:szCs w:val="24"/>
        </w:rPr>
        <w:t xml:space="preserve"> 121286. https://doi.org/10.1016/j.techfore.2021.121286</w:t>
      </w:r>
    </w:p>
    <w:p w14:paraId="235449F3"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Yousafzai, S. Y., Pallister, J. G., &amp; Foxall, G. R. (2003). A proposed model of e-trust for electronic banking. </w:t>
      </w:r>
      <w:proofErr w:type="spellStart"/>
      <w:r w:rsidRPr="0086360E">
        <w:rPr>
          <w:rFonts w:eastAsia="SimSun" w:cs="Times New Roman"/>
          <w:i/>
          <w:iCs/>
          <w:szCs w:val="24"/>
        </w:rPr>
        <w:t>Technovation</w:t>
      </w:r>
      <w:proofErr w:type="spellEnd"/>
      <w:r w:rsidRPr="0086360E">
        <w:rPr>
          <w:rFonts w:eastAsia="SimSun" w:cs="Times New Roman"/>
          <w:i/>
          <w:iCs/>
          <w:szCs w:val="24"/>
        </w:rPr>
        <w:t>, 23</w:t>
      </w:r>
      <w:r w:rsidRPr="0086360E">
        <w:rPr>
          <w:rFonts w:cs="Times New Roman"/>
          <w:szCs w:val="24"/>
        </w:rPr>
        <w:t>(11), 847–860. https://doi.org/10.1016/S0166-4972(03)00130-5</w:t>
      </w:r>
    </w:p>
    <w:p w14:paraId="73A5AC91" w14:textId="77777777" w:rsidR="00CC0D14" w:rsidRPr="0086360E" w:rsidRDefault="00CC0D14" w:rsidP="00CC0D14">
      <w:pPr>
        <w:spacing w:after="240" w:line="240" w:lineRule="auto"/>
        <w:ind w:left="720" w:hanging="720"/>
        <w:rPr>
          <w:rFonts w:cs="Times New Roman"/>
          <w:szCs w:val="24"/>
        </w:rPr>
      </w:pPr>
      <w:r w:rsidRPr="0086360E">
        <w:rPr>
          <w:rFonts w:cs="Times New Roman"/>
          <w:szCs w:val="24"/>
        </w:rPr>
        <w:t xml:space="preserve">Youssef, O. (2024). The role of commercial banks in economic development and financial inclusion. </w:t>
      </w:r>
      <w:r w:rsidRPr="0086360E">
        <w:rPr>
          <w:rFonts w:cs="Times New Roman"/>
          <w:i/>
          <w:iCs/>
          <w:szCs w:val="24"/>
        </w:rPr>
        <w:t>Academy of Accounting and Financial Studies Journal, 28</w:t>
      </w:r>
      <w:r w:rsidRPr="0086360E">
        <w:rPr>
          <w:rFonts w:cs="Times New Roman"/>
          <w:szCs w:val="24"/>
        </w:rPr>
        <w:t>(Special Issue 5), 1–3.</w:t>
      </w:r>
    </w:p>
    <w:p w14:paraId="35DA26D8"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Zegullaj</w:t>
      </w:r>
      <w:proofErr w:type="spellEnd"/>
      <w:r w:rsidRPr="0086360E">
        <w:rPr>
          <w:rFonts w:cs="Times New Roman"/>
          <w:szCs w:val="24"/>
        </w:rPr>
        <w:t xml:space="preserve">, F., Zeqiri, J., Reshidi, N., &amp; Abazi-Alili, H. (2023). The impact of customer relationship marketing on customer loyalty: Evidence from the banking sector. </w:t>
      </w:r>
      <w:r w:rsidRPr="0086360E">
        <w:rPr>
          <w:rFonts w:eastAsia="SimSun" w:cs="Times New Roman"/>
          <w:i/>
          <w:iCs/>
          <w:szCs w:val="24"/>
        </w:rPr>
        <w:t>International Journal of Customer Relationship Marketing and Management, 14</w:t>
      </w:r>
      <w:r w:rsidRPr="0086360E">
        <w:rPr>
          <w:rFonts w:cs="Times New Roman"/>
          <w:szCs w:val="24"/>
        </w:rPr>
        <w:t xml:space="preserve">(1), 1–17. https://doi.org/10.4018/IJCRMM.332231 </w:t>
      </w:r>
      <w:hyperlink r:id="rId13" w:tgtFrame="_blank" w:history="1">
        <w:r w:rsidRPr="0086360E">
          <w:rPr>
            <w:rStyle w:val="Hyperlink"/>
            <w:szCs w:val="24"/>
          </w:rPr>
          <w:t>IDEAS/</w:t>
        </w:r>
        <w:proofErr w:type="spellStart"/>
        <w:r w:rsidRPr="0086360E">
          <w:rPr>
            <w:rStyle w:val="Hyperlink"/>
            <w:szCs w:val="24"/>
          </w:rPr>
          <w:t>RePEc</w:t>
        </w:r>
        <w:proofErr w:type="spellEnd"/>
      </w:hyperlink>
    </w:p>
    <w:p w14:paraId="0D11032A" w14:textId="77777777" w:rsidR="00CC0D14" w:rsidRPr="0086360E" w:rsidRDefault="00CC0D14" w:rsidP="00CC0D14">
      <w:pPr>
        <w:spacing w:after="240" w:line="240" w:lineRule="auto"/>
        <w:ind w:left="720" w:hanging="720"/>
        <w:rPr>
          <w:rFonts w:cs="Times New Roman"/>
          <w:szCs w:val="24"/>
        </w:rPr>
      </w:pPr>
      <w:proofErr w:type="spellStart"/>
      <w:r w:rsidRPr="0086360E">
        <w:rPr>
          <w:rFonts w:cs="Times New Roman"/>
          <w:szCs w:val="24"/>
        </w:rPr>
        <w:t>Zsigmondová</w:t>
      </w:r>
      <w:proofErr w:type="spellEnd"/>
      <w:r w:rsidRPr="0086360E">
        <w:rPr>
          <w:rFonts w:cs="Times New Roman"/>
          <w:szCs w:val="24"/>
        </w:rPr>
        <w:t xml:space="preserve">, A., Zsigmond, T., &amp; Machová, R. (2021). Theoretical background to the role of trust in marketing. </w:t>
      </w:r>
      <w:r w:rsidRPr="0086360E">
        <w:rPr>
          <w:rFonts w:cs="Times New Roman"/>
          <w:i/>
          <w:iCs/>
          <w:szCs w:val="24"/>
        </w:rPr>
        <w:t>SHS Web of Conferences, 115</w:t>
      </w:r>
      <w:r w:rsidRPr="0086360E">
        <w:rPr>
          <w:rFonts w:cs="Times New Roman"/>
          <w:szCs w:val="24"/>
        </w:rPr>
        <w:t xml:space="preserve">, 03019. </w:t>
      </w:r>
      <w:hyperlink r:id="rId14" w:tgtFrame="_new" w:history="1">
        <w:r w:rsidRPr="0086360E">
          <w:rPr>
            <w:rStyle w:val="Hyperlink"/>
            <w:szCs w:val="24"/>
          </w:rPr>
          <w:t>https://doi.org/10.1051/shsconf/202111503019</w:t>
        </w:r>
      </w:hyperlink>
    </w:p>
    <w:p w14:paraId="2F78236F" w14:textId="77777777" w:rsidR="00590FE6" w:rsidRPr="005606CC" w:rsidRDefault="00590FE6" w:rsidP="00590FE6">
      <w:pPr>
        <w:spacing w:after="240" w:line="240" w:lineRule="auto"/>
        <w:rPr>
          <w:rFonts w:cs="Times New Roman"/>
          <w:szCs w:val="24"/>
        </w:rPr>
      </w:pPr>
    </w:p>
    <w:p w14:paraId="2EF432F1" w14:textId="77777777" w:rsidR="00590FE6" w:rsidRDefault="00590FE6" w:rsidP="00590FE6"/>
    <w:p w14:paraId="69530451" w14:textId="77777777" w:rsidR="00590FE6" w:rsidRDefault="00590FE6" w:rsidP="00590FE6"/>
    <w:p w14:paraId="30D97D2E" w14:textId="77777777" w:rsidR="00590FE6" w:rsidRDefault="00590FE6" w:rsidP="00590FE6"/>
    <w:p w14:paraId="1983C64A" w14:textId="77777777" w:rsidR="00AD7209" w:rsidRDefault="00AD7209"/>
    <w:sectPr w:rsidR="00AD7209" w:rsidSect="00F32D0D">
      <w:headerReference w:type="default" r:id="rId15"/>
      <w:footerReference w:type="default" r:id="rId16"/>
      <w:pgSz w:w="12240" w:h="15840"/>
      <w:pgMar w:top="1440" w:right="1440" w:bottom="1440" w:left="1440" w:header="708" w:footer="708" w:gutter="0"/>
      <w:pgNumType w:start="13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97661"/>
      <w:docPartObj>
        <w:docPartGallery w:val="Page Numbers (Bottom of Page)"/>
        <w:docPartUnique/>
      </w:docPartObj>
    </w:sdtPr>
    <w:sdtEndPr>
      <w:rPr>
        <w:noProof/>
      </w:rPr>
    </w:sdtEndPr>
    <w:sdtContent>
      <w:p w14:paraId="46D1E6E2" w14:textId="77777777" w:rsidR="00590FE6" w:rsidRDefault="00590F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34F14" w14:textId="77777777" w:rsidR="00590FE6" w:rsidRDefault="00590F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1AD0" w14:textId="77777777" w:rsidR="00590FE6" w:rsidRDefault="00590FE6"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5/No1 April 2024</w:t>
    </w:r>
  </w:p>
  <w:p w14:paraId="0CA573E2" w14:textId="77777777" w:rsidR="00590FE6" w:rsidRDefault="00590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ADB"/>
    <w:multiLevelType w:val="multilevel"/>
    <w:tmpl w:val="64AC8FA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66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E6"/>
    <w:rsid w:val="003129EE"/>
    <w:rsid w:val="004216BB"/>
    <w:rsid w:val="00590FE6"/>
    <w:rsid w:val="00673CC5"/>
    <w:rsid w:val="00946E3C"/>
    <w:rsid w:val="00AD7209"/>
    <w:rsid w:val="00CC0D14"/>
    <w:rsid w:val="00F32D0D"/>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1B7C"/>
  <w15:chartTrackingRefBased/>
  <w15:docId w15:val="{93571A3F-E607-4E38-9470-D326268E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E6"/>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590F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F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F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590F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F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F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FE6"/>
    <w:rPr>
      <w:rFonts w:eastAsiaTheme="majorEastAsia" w:cstheme="majorBidi"/>
      <w:color w:val="272727" w:themeColor="text1" w:themeTint="D8"/>
    </w:rPr>
  </w:style>
  <w:style w:type="paragraph" w:styleId="Title">
    <w:name w:val="Title"/>
    <w:basedOn w:val="Normal"/>
    <w:next w:val="Normal"/>
    <w:link w:val="TitleChar"/>
    <w:uiPriority w:val="10"/>
    <w:qFormat/>
    <w:rsid w:val="0059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FE6"/>
    <w:pPr>
      <w:spacing w:before="160"/>
      <w:jc w:val="center"/>
    </w:pPr>
    <w:rPr>
      <w:i/>
      <w:iCs/>
      <w:color w:val="404040" w:themeColor="text1" w:themeTint="BF"/>
    </w:rPr>
  </w:style>
  <w:style w:type="character" w:customStyle="1" w:styleId="QuoteChar">
    <w:name w:val="Quote Char"/>
    <w:basedOn w:val="DefaultParagraphFont"/>
    <w:link w:val="Quote"/>
    <w:uiPriority w:val="29"/>
    <w:rsid w:val="00590FE6"/>
    <w:rPr>
      <w:i/>
      <w:iCs/>
      <w:color w:val="404040" w:themeColor="text1" w:themeTint="BF"/>
    </w:rPr>
  </w:style>
  <w:style w:type="paragraph" w:styleId="ListParagraph">
    <w:name w:val="List Paragraph"/>
    <w:basedOn w:val="Normal"/>
    <w:uiPriority w:val="34"/>
    <w:qFormat/>
    <w:rsid w:val="00590FE6"/>
    <w:pPr>
      <w:ind w:left="720"/>
      <w:contextualSpacing/>
    </w:pPr>
  </w:style>
  <w:style w:type="character" w:styleId="IntenseEmphasis">
    <w:name w:val="Intense Emphasis"/>
    <w:basedOn w:val="DefaultParagraphFont"/>
    <w:uiPriority w:val="21"/>
    <w:qFormat/>
    <w:rsid w:val="00590FE6"/>
    <w:rPr>
      <w:i/>
      <w:iCs/>
      <w:color w:val="2F5496" w:themeColor="accent1" w:themeShade="BF"/>
    </w:rPr>
  </w:style>
  <w:style w:type="paragraph" w:styleId="IntenseQuote">
    <w:name w:val="Intense Quote"/>
    <w:basedOn w:val="Normal"/>
    <w:next w:val="Normal"/>
    <w:link w:val="IntenseQuoteChar"/>
    <w:uiPriority w:val="30"/>
    <w:qFormat/>
    <w:rsid w:val="00590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FE6"/>
    <w:rPr>
      <w:i/>
      <w:iCs/>
      <w:color w:val="2F5496" w:themeColor="accent1" w:themeShade="BF"/>
    </w:rPr>
  </w:style>
  <w:style w:type="character" w:styleId="IntenseReference">
    <w:name w:val="Intense Reference"/>
    <w:basedOn w:val="DefaultParagraphFont"/>
    <w:uiPriority w:val="32"/>
    <w:qFormat/>
    <w:rsid w:val="00590FE6"/>
    <w:rPr>
      <w:b/>
      <w:bCs/>
      <w:smallCaps/>
      <w:color w:val="2F5496" w:themeColor="accent1" w:themeShade="BF"/>
      <w:spacing w:val="5"/>
    </w:rPr>
  </w:style>
  <w:style w:type="paragraph" w:styleId="Header">
    <w:name w:val="header"/>
    <w:basedOn w:val="Normal"/>
    <w:link w:val="HeaderChar"/>
    <w:uiPriority w:val="99"/>
    <w:unhideWhenUsed/>
    <w:rsid w:val="00590FE6"/>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590FE6"/>
    <w:rPr>
      <w:kern w:val="0"/>
      <w14:ligatures w14:val="none"/>
    </w:rPr>
  </w:style>
  <w:style w:type="paragraph" w:styleId="Footer">
    <w:name w:val="footer"/>
    <w:basedOn w:val="Normal"/>
    <w:link w:val="FooterChar"/>
    <w:uiPriority w:val="99"/>
    <w:unhideWhenUsed/>
    <w:rsid w:val="00590FE6"/>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590FE6"/>
    <w:rPr>
      <w:kern w:val="0"/>
      <w14:ligatures w14:val="none"/>
    </w:rPr>
  </w:style>
  <w:style w:type="table" w:styleId="TableGrid">
    <w:name w:val="Table Grid"/>
    <w:basedOn w:val="TableNormal"/>
    <w:uiPriority w:val="59"/>
    <w:rsid w:val="00590F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FE6"/>
    <w:rPr>
      <w:color w:val="0563C1" w:themeColor="hyperlink"/>
      <w:u w:val="single"/>
    </w:rPr>
  </w:style>
  <w:style w:type="character" w:styleId="UnresolvedMention">
    <w:name w:val="Unresolved Mention"/>
    <w:basedOn w:val="DefaultParagraphFont"/>
    <w:uiPriority w:val="99"/>
    <w:semiHidden/>
    <w:unhideWhenUsed/>
    <w:rsid w:val="00F32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24.e24130" TargetMode="External"/><Relationship Id="rId13" Type="http://schemas.openxmlformats.org/officeDocument/2006/relationships/hyperlink" Target="https://ideas.repec.org/a/igg/jcrmm0/v14y2023i1p1-17.html?utm_source=chatgp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erald.com/ijoa/article/doi/10.1108/IJOA-07-2024-4662/1259081/Predicting-model-for-the-employees-organizational?utm_source=chatgpt.com" TargetMode="External"/><Relationship Id="rId12" Type="http://schemas.openxmlformats.org/officeDocument/2006/relationships/hyperlink" Target="https://documents1.worldbank.org/curated/en/099062123034023646/pdf/P1750310c8d0390000afa70e5c583aa3b87.pdf?utm_source=chatgp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tandfonline.com/doi/full/10.1080/17475759.2024.2368471?utm_source=chatgpt.com" TargetMode="External"/><Relationship Id="rId11" Type="http://schemas.openxmlformats.org/officeDocument/2006/relationships/hyperlink" Target="https://doi.org/10.1016/j.chest.2020.03.012" TargetMode="External"/><Relationship Id="rId5" Type="http://schemas.openxmlformats.org/officeDocument/2006/relationships/hyperlink" Target="https://www.researchgate.net/publication/259163154_Bank_regulation_and_supervision_in_the_context_of_the_global_crisis?utm_source=chatgpt.com" TargetMode="External"/><Relationship Id="rId15" Type="http://schemas.openxmlformats.org/officeDocument/2006/relationships/header" Target="header1.xml"/><Relationship Id="rId10" Type="http://schemas.openxmlformats.org/officeDocument/2006/relationships/hyperlink" Target="https://doi.org/10.2139/ssrn.3773912" TargetMode="External"/><Relationship Id="rId4" Type="http://schemas.openxmlformats.org/officeDocument/2006/relationships/webSettings" Target="webSettings.xml"/><Relationship Id="rId9" Type="http://schemas.openxmlformats.org/officeDocument/2006/relationships/hyperlink" Target="https://doi.org/10.4102/jef.v6i1.284" TargetMode="External"/><Relationship Id="rId14" Type="http://schemas.openxmlformats.org/officeDocument/2006/relationships/hyperlink" Target="https://doi.org/10.1051/shsconf/202111503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7387</Words>
  <Characters>42112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2025-12-19T09:20:00Z</dcterms:created>
  <dcterms:modified xsi:type="dcterms:W3CDTF">2025-12-19T09:43:00Z</dcterms:modified>
</cp:coreProperties>
</file>