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47A" w:rsidRPr="005A647A" w:rsidRDefault="005A647A" w:rsidP="005A647A">
      <w:pPr>
        <w:pStyle w:val="Heading1"/>
      </w:pPr>
      <w:r>
        <w:rPr>
          <w:rFonts w:eastAsiaTheme="majorEastAsia"/>
          <w:spacing w:val="-10"/>
          <w:kern w:val="28"/>
        </w:rPr>
        <w:t>EVALUATING THE RELATIONSHIP BETWEEN CULTURAL DIVERSITY AND ORGANIZATIONAL PERFORMANCE IN PRIVATE UNIVERSITIES</w:t>
      </w:r>
      <w:r w:rsidRPr="005A647A">
        <w:t xml:space="preserve">                                       </w:t>
      </w:r>
    </w:p>
    <w:p w:rsidR="005A647A" w:rsidRPr="002016C2" w:rsidRDefault="005A647A" w:rsidP="005A647A">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 xml:space="preserve">             </w:t>
      </w:r>
      <w:r>
        <w:rPr>
          <w:szCs w:val="24"/>
        </w:rPr>
        <w:t>IBOJO</w:t>
      </w:r>
      <w:r>
        <w:rPr>
          <w:szCs w:val="24"/>
        </w:rPr>
        <w:t xml:space="preserve">, </w:t>
      </w:r>
      <w:r>
        <w:rPr>
          <w:szCs w:val="24"/>
        </w:rPr>
        <w:t>B. O. and OMENKA, O. N.</w:t>
      </w:r>
    </w:p>
    <w:p w:rsidR="005A647A" w:rsidRPr="005A647A" w:rsidRDefault="005A647A" w:rsidP="005A647A">
      <w:pPr>
        <w:spacing w:line="240" w:lineRule="auto"/>
        <w:rPr>
          <w:rFonts w:eastAsiaTheme="majorEastAsia" w:cs="Times New Roman"/>
          <w:spacing w:val="-10"/>
          <w:kern w:val="28"/>
          <w:sz w:val="22"/>
        </w:rPr>
      </w:pPr>
      <w:r w:rsidRPr="002016C2">
        <w:rPr>
          <w:b/>
          <w:szCs w:val="24"/>
        </w:rPr>
        <w:t xml:space="preserve">Abstract: </w:t>
      </w:r>
      <w:r w:rsidRPr="005A647A">
        <w:rPr>
          <w:rFonts w:eastAsiaTheme="majorEastAsia" w:cs="Times New Roman"/>
          <w:i/>
          <w:iCs/>
          <w:spacing w:val="-10"/>
          <w:kern w:val="28"/>
          <w:sz w:val="22"/>
        </w:rPr>
        <w:t>This study examined the relationship between cultural diversity and organisational performance in private universities in Oyo State, Nigeria. Cultural diversity is the coexistence of varied cultural identities and practices, influencing communication, teamwork, and workplace interactions. However, organizations often find that cultural diversity does not automatically enhance performance, as it can lead to poor collaboration and weak cohesion. The study adopted a survey research design and a deductive approach, employing quantitative methods to measure variables. Data were collected from academic and administrative staff of two purposively selected private universities using structured questionnaires, complemented by secondary data from journals, textbooks, and institutional reports. Both descriptive and inferential statistics were applied, with Pearson’s correlation coefficient and multiple regression analysis conducted at a 0.05 significance level using SPSS. The results revealed a strong positive and statistically significant relationship between cultural diversity and organisational performance (r = 0.656**, p = 0.000). This implies that higher levels of cultural diversity contribute meaningfully to improved organisational outcomes. The findings highlight that diverse workforces, when effectively managed, enhance teamwork, innovation, and institutional efficiency. It was concluded that embracing and managing cultural diversity strengthens organisational effectiveness and performance. It was recommended that private universities cultivate inclusive practices through equitable recruitment and open communication frameworks to promote collaboration and continuous performance improvement.</w:t>
      </w:r>
    </w:p>
    <w:p w:rsidR="005A647A" w:rsidRPr="005A647A" w:rsidRDefault="005A647A" w:rsidP="005A647A">
      <w:pPr>
        <w:spacing w:line="240" w:lineRule="auto"/>
        <w:rPr>
          <w:rFonts w:eastAsiaTheme="majorEastAsia" w:cs="Times New Roman"/>
          <w:spacing w:val="-10"/>
          <w:kern w:val="28"/>
          <w:sz w:val="22"/>
        </w:rPr>
      </w:pPr>
      <w:r w:rsidRPr="005A647A">
        <w:rPr>
          <w:rFonts w:eastAsiaTheme="majorEastAsia" w:cs="Times New Roman"/>
          <w:b/>
          <w:bCs/>
          <w:spacing w:val="-10"/>
          <w:kern w:val="28"/>
          <w:sz w:val="22"/>
        </w:rPr>
        <w:t>Keywords:</w:t>
      </w:r>
      <w:r w:rsidRPr="005A647A">
        <w:rPr>
          <w:rFonts w:eastAsiaTheme="majorEastAsia" w:cs="Times New Roman"/>
          <w:spacing w:val="-10"/>
          <w:kern w:val="28"/>
          <w:sz w:val="22"/>
        </w:rPr>
        <w:t xml:space="preserve"> Cultural Diversity, Organisational Performance, Private Universities, Workforce Inclusion</w:t>
      </w:r>
    </w:p>
    <w:p w:rsidR="005A647A" w:rsidRPr="005606CC" w:rsidRDefault="005A647A" w:rsidP="005A647A">
      <w:pPr>
        <w:pStyle w:val="Heading2"/>
        <w:rPr>
          <w:rFonts w:cs="Times New Roman"/>
          <w:color w:val="auto"/>
          <w:sz w:val="24"/>
          <w:szCs w:val="24"/>
        </w:rPr>
      </w:pPr>
      <w:r w:rsidRPr="005606CC">
        <w:rPr>
          <w:rFonts w:cs="Times New Roman"/>
          <w:color w:val="auto"/>
          <w:sz w:val="24"/>
          <w:szCs w:val="24"/>
        </w:rPr>
        <w:t>1. Introduction</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Workforces today comprise a striking range of differences among employees—ethnicity, language, beliefs, values, national origin, work experience, and cognitive style. These variations emerge from increasing global mobility, fluid labour markets, and broader recruitment pools. Together, they influence how work is conducted, how teams are formed, and how information circulates across an organisation. When diversity is managed deliberately, it can expand the skill base and perspective range available for problem solving and service delivery (</w:t>
      </w:r>
      <w:proofErr w:type="spellStart"/>
      <w:r>
        <w:rPr>
          <w:rFonts w:eastAsiaTheme="majorEastAsia" w:cs="Times New Roman"/>
          <w:spacing w:val="-10"/>
          <w:kern w:val="28"/>
          <w:szCs w:val="24"/>
        </w:rPr>
        <w:t>Damelang</w:t>
      </w:r>
      <w:proofErr w:type="spellEnd"/>
      <w:r>
        <w:rPr>
          <w:rFonts w:eastAsiaTheme="majorEastAsia" w:cs="Times New Roman"/>
          <w:spacing w:val="-10"/>
          <w:kern w:val="28"/>
          <w:szCs w:val="24"/>
        </w:rPr>
        <w:t xml:space="preserve"> &amp; Haas, 2012; </w:t>
      </w:r>
      <w:proofErr w:type="spellStart"/>
      <w:r>
        <w:rPr>
          <w:rFonts w:eastAsiaTheme="majorEastAsia" w:cs="Times New Roman"/>
          <w:spacing w:val="-10"/>
          <w:kern w:val="28"/>
          <w:szCs w:val="24"/>
        </w:rPr>
        <w:t>Suedekum</w:t>
      </w:r>
      <w:proofErr w:type="spellEnd"/>
      <w:r>
        <w:rPr>
          <w:rFonts w:eastAsiaTheme="majorEastAsia" w:cs="Times New Roman"/>
          <w:spacing w:val="-10"/>
          <w:kern w:val="28"/>
          <w:szCs w:val="24"/>
        </w:rPr>
        <w:t xml:space="preserve">, Wolf, &amp; Blien, 2014; </w:t>
      </w:r>
      <w:proofErr w:type="spellStart"/>
      <w:r>
        <w:rPr>
          <w:rFonts w:eastAsiaTheme="majorEastAsia" w:cs="Times New Roman"/>
          <w:spacing w:val="-10"/>
          <w:kern w:val="28"/>
          <w:szCs w:val="24"/>
        </w:rPr>
        <w:t>Ozgen</w:t>
      </w:r>
      <w:proofErr w:type="spellEnd"/>
      <w:r>
        <w:rPr>
          <w:rFonts w:eastAsiaTheme="majorEastAsia" w:cs="Times New Roman"/>
          <w:spacing w:val="-10"/>
          <w:kern w:val="28"/>
          <w:szCs w:val="24"/>
        </w:rPr>
        <w:t xml:space="preserve"> et al., 2014).</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 xml:space="preserve">Cultural diversity refers to the coexistence of distinct cultural identities and practices within an organisation. It becomes visible through language and idiomatic expression, conversational styles (for instance, directness versus indirectness), perceptions of hierarchy and authority, time orientation, and typical approaches to feedback and conflict (Raina &amp; Roebuck, 2016; Gut, Wilczewski, &amp; </w:t>
      </w:r>
      <w:proofErr w:type="spellStart"/>
      <w:r>
        <w:rPr>
          <w:rFonts w:eastAsiaTheme="majorEastAsia" w:cs="Times New Roman"/>
          <w:spacing w:val="-10"/>
          <w:kern w:val="28"/>
          <w:szCs w:val="24"/>
        </w:rPr>
        <w:t>Gorbaniuk</w:t>
      </w:r>
      <w:proofErr w:type="spellEnd"/>
      <w:r>
        <w:rPr>
          <w:rFonts w:eastAsiaTheme="majorEastAsia" w:cs="Times New Roman"/>
          <w:spacing w:val="-10"/>
          <w:kern w:val="28"/>
          <w:szCs w:val="24"/>
        </w:rPr>
        <w:t>, 2017). These dimensions often operate beneath the surface, quietly shaping how messages are interpreted and how everyday routines—meetings, greetings, or decision-making—are enacted. While such variety can enrich decision-making and inspire creativity, it can also foster misunderstanding, heighten coordination costs, and create tension when organisational systems or leadership styles fail to bridge cultural gaps.</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 xml:space="preserve">A considerable body of research links cultural diversity to multiple aspects of organisational performance—innovation, productivity, financial outcomes, and efficiency in service delivery (e.g., </w:t>
      </w:r>
      <w:proofErr w:type="spellStart"/>
      <w:r>
        <w:rPr>
          <w:rFonts w:eastAsiaTheme="majorEastAsia" w:cs="Times New Roman"/>
          <w:spacing w:val="-10"/>
          <w:kern w:val="28"/>
          <w:szCs w:val="24"/>
        </w:rPr>
        <w:t>Ozgen</w:t>
      </w:r>
      <w:proofErr w:type="spellEnd"/>
      <w:r>
        <w:rPr>
          <w:rFonts w:eastAsiaTheme="majorEastAsia" w:cs="Times New Roman"/>
          <w:spacing w:val="-10"/>
          <w:kern w:val="28"/>
          <w:szCs w:val="24"/>
        </w:rPr>
        <w:t xml:space="preserve"> et al., 2014; Stahl &amp; Maznevski, 2021). Much of this evidence, however, comes from studies of multinational corporations or public-sector organisations, where success is often defined through profitability and global competitiveness. In contrast, fewer investigations have explored non-profit or educational contexts, such as private universities, where performance hinges more on academic quality, staff engagement, student satisfaction, and institutional reputation (Abdullahi et al., 2021; Ooi et al., 2022).</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 xml:space="preserve">Earlier research has also tended to emphasise surface-level diversity—such as nationality and ethnicity—while giving less attention to deep-level cultural differences, including values, communication preferences, </w:t>
      </w:r>
      <w:r>
        <w:rPr>
          <w:rFonts w:eastAsiaTheme="majorEastAsia" w:cs="Times New Roman"/>
          <w:spacing w:val="-10"/>
          <w:kern w:val="28"/>
          <w:szCs w:val="24"/>
        </w:rPr>
        <w:lastRenderedPageBreak/>
        <w:t>and work attitudes that directly affect collaboration and decision-making within academic settings (Fatma, 2020; Ismail et al., 2024).</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 xml:space="preserve">In practice, cultural diversity does not automatically translate into higher performance. It can coincide with inconsistent teamwork, low cohesion, or variable service quality, making its overall influence somewhat unpredictable (Daniels, 2016; Pham-Thai et al., 2018; </w:t>
      </w:r>
      <w:proofErr w:type="spellStart"/>
      <w:r>
        <w:rPr>
          <w:rFonts w:eastAsiaTheme="majorEastAsia" w:cs="Times New Roman"/>
          <w:spacing w:val="-10"/>
          <w:kern w:val="28"/>
          <w:szCs w:val="24"/>
        </w:rPr>
        <w:t>Nnabuife</w:t>
      </w:r>
      <w:proofErr w:type="spellEnd"/>
      <w:r>
        <w:rPr>
          <w:rFonts w:eastAsiaTheme="majorEastAsia" w:cs="Times New Roman"/>
          <w:spacing w:val="-10"/>
          <w:kern w:val="28"/>
          <w:szCs w:val="24"/>
        </w:rPr>
        <w:t xml:space="preserve"> &amp; Ikemefuna, 2020). This uncertainty underscores the importance of examining how cultural differences interact with organisational structures, leadership, and formal systems to shape outcomes such as productivity, service quality, and employee retention (Nazir &amp; Islam, 2017; Azmy, 2019). Accordingly, this study seeks to determine the relationship between cultural diversity and organisational performance. The investigation is guided by the following hypothesis: </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H0: There is no significant relationship between cultural diversity and organizational performance of private universities in Oyo State.</w:t>
      </w:r>
    </w:p>
    <w:p w:rsidR="005A647A" w:rsidRDefault="005A647A" w:rsidP="005A647A">
      <w:pPr>
        <w:pStyle w:val="ListParagraph"/>
        <w:numPr>
          <w:ilvl w:val="0"/>
          <w:numId w:val="3"/>
        </w:numPr>
        <w:spacing w:line="240" w:lineRule="auto"/>
        <w:rPr>
          <w:rFonts w:eastAsiaTheme="majorEastAsia" w:cs="Times New Roman"/>
          <w:b/>
          <w:bCs/>
          <w:spacing w:val="-10"/>
          <w:kern w:val="28"/>
          <w:szCs w:val="24"/>
        </w:rPr>
      </w:pPr>
      <w:r>
        <w:rPr>
          <w:rFonts w:eastAsiaTheme="majorEastAsia" w:cs="Times New Roman"/>
          <w:b/>
          <w:bCs/>
          <w:spacing w:val="-10"/>
          <w:kern w:val="28"/>
          <w:szCs w:val="24"/>
        </w:rPr>
        <w:t>Literature Review</w:t>
      </w:r>
    </w:p>
    <w:p w:rsidR="005A647A" w:rsidRDefault="005A647A" w:rsidP="005A647A">
      <w:pPr>
        <w:pStyle w:val="ListParagraph"/>
        <w:numPr>
          <w:ilvl w:val="1"/>
          <w:numId w:val="3"/>
        </w:numPr>
        <w:spacing w:line="240" w:lineRule="auto"/>
        <w:rPr>
          <w:rFonts w:eastAsiaTheme="majorEastAsia" w:cs="Times New Roman"/>
          <w:b/>
          <w:bCs/>
          <w:spacing w:val="-10"/>
          <w:kern w:val="28"/>
          <w:szCs w:val="24"/>
        </w:rPr>
      </w:pPr>
      <w:r>
        <w:rPr>
          <w:rFonts w:eastAsiaTheme="majorEastAsia" w:cs="Times New Roman"/>
          <w:b/>
          <w:bCs/>
          <w:spacing w:val="-10"/>
          <w:kern w:val="28"/>
          <w:szCs w:val="24"/>
        </w:rPr>
        <w:t>Employee Diversity and Cultural Dynamics</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Employee diversity describes the mix of backgrounds, experiences, skills, perspectives, and life histories within a workforce. It appears in who makes up teams, how projects are organised, the informal networks that form, and the different ways people approach tasks (Han, Han, &amp; Brass, 2014; Cho, Kim, &amp; Mor Barak, 2017). These differences arise from recruitment patterns, labour mobility and career paths and influence communication habits, problem-solving styles and how expertise is shared across the organisation (</w:t>
      </w:r>
      <w:proofErr w:type="spellStart"/>
      <w:r>
        <w:rPr>
          <w:rFonts w:eastAsiaTheme="majorEastAsia" w:cs="Times New Roman"/>
          <w:spacing w:val="-10"/>
          <w:kern w:val="28"/>
          <w:szCs w:val="24"/>
        </w:rPr>
        <w:t>Damelang</w:t>
      </w:r>
      <w:proofErr w:type="spellEnd"/>
      <w:r>
        <w:rPr>
          <w:rFonts w:eastAsiaTheme="majorEastAsia" w:cs="Times New Roman"/>
          <w:spacing w:val="-10"/>
          <w:kern w:val="28"/>
          <w:szCs w:val="24"/>
        </w:rPr>
        <w:t xml:space="preserve"> &amp; Haas, 2012; </w:t>
      </w:r>
      <w:proofErr w:type="spellStart"/>
      <w:r>
        <w:rPr>
          <w:rFonts w:eastAsiaTheme="majorEastAsia" w:cs="Times New Roman"/>
          <w:spacing w:val="-10"/>
          <w:kern w:val="28"/>
          <w:szCs w:val="24"/>
        </w:rPr>
        <w:t>Ozgen</w:t>
      </w:r>
      <w:proofErr w:type="spellEnd"/>
      <w:r>
        <w:rPr>
          <w:rFonts w:eastAsiaTheme="majorEastAsia" w:cs="Times New Roman"/>
          <w:spacing w:val="-10"/>
          <w:kern w:val="28"/>
          <w:szCs w:val="24"/>
        </w:rPr>
        <w:t xml:space="preserve"> </w:t>
      </w:r>
      <w:r>
        <w:rPr>
          <w:rFonts w:eastAsiaTheme="majorEastAsia" w:cs="Times New Roman"/>
          <w:i/>
          <w:iCs/>
          <w:spacing w:val="-10"/>
          <w:kern w:val="28"/>
          <w:szCs w:val="24"/>
        </w:rPr>
        <w:t>et al</w:t>
      </w:r>
      <w:r>
        <w:rPr>
          <w:rFonts w:eastAsiaTheme="majorEastAsia" w:cs="Times New Roman"/>
          <w:spacing w:val="-10"/>
          <w:kern w:val="28"/>
          <w:szCs w:val="24"/>
        </w:rPr>
        <w:t>., 2014).</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At work, cultural diversity shows in language and idioms, conversational norms (for example directness versus indirectness), expectations about hierarchy and decision authority, attitudes to time and deadlines, and customary ways of giving feedback or handling disagreement. These elements often run beneath the surface and shape how messages are understood, which actions are seen as respectful, and how routines such as meetings and greetings are carried out (Hooker, 2012; Khan, 2023).</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When employee diversity overlaps with cultural diversity, the workplace hosts a range of viewpoints and working styles. Colleagues adjust how they communicate and cooperate, and some staff act as connectors who translate expectations across groups. Organisations set up formal procedures and everyday habits—clear roles, established routines and local conventions—that support ongoing adjustment, peer learning and the renewal of shared practices as staff change (Singh, 2014; Malik, Dubey, &amp; Agarwal, 2024).</w:t>
      </w:r>
    </w:p>
    <w:p w:rsidR="005A647A" w:rsidRDefault="005A647A" w:rsidP="005A647A">
      <w:pPr>
        <w:pStyle w:val="ListParagraph"/>
        <w:numPr>
          <w:ilvl w:val="1"/>
          <w:numId w:val="3"/>
        </w:numPr>
        <w:spacing w:line="240" w:lineRule="auto"/>
        <w:rPr>
          <w:rFonts w:eastAsiaTheme="majorEastAsia" w:cs="Times New Roman"/>
          <w:b/>
          <w:bCs/>
          <w:spacing w:val="-10"/>
          <w:kern w:val="28"/>
          <w:szCs w:val="24"/>
        </w:rPr>
      </w:pPr>
      <w:r>
        <w:rPr>
          <w:rFonts w:eastAsiaTheme="majorEastAsia" w:cs="Times New Roman"/>
          <w:b/>
          <w:bCs/>
          <w:spacing w:val="-10"/>
          <w:kern w:val="28"/>
          <w:szCs w:val="24"/>
        </w:rPr>
        <w:t>Organisational Performance and the Influence of Cultural Diversity</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 xml:space="preserve">Organisational performance appears in measurable results and in how people perceive an institution’s functioning: revenue, process throughput, product or service quality, innovation output, customer satisfaction, and staff morale and retention (Zairi, 2012; </w:t>
      </w:r>
      <w:proofErr w:type="spellStart"/>
      <w:r>
        <w:rPr>
          <w:rFonts w:eastAsiaTheme="majorEastAsia" w:cs="Times New Roman"/>
          <w:spacing w:val="-10"/>
          <w:kern w:val="28"/>
          <w:szCs w:val="24"/>
        </w:rPr>
        <w:t>Sethibe</w:t>
      </w:r>
      <w:proofErr w:type="spellEnd"/>
      <w:r>
        <w:rPr>
          <w:rFonts w:eastAsiaTheme="majorEastAsia" w:cs="Times New Roman"/>
          <w:spacing w:val="-10"/>
          <w:kern w:val="28"/>
          <w:szCs w:val="24"/>
        </w:rPr>
        <w:t xml:space="preserve"> &amp; Steyn, 2016; Cheema &amp; Asrar-ul-Haq, 2017). These outcomes span short and long horizons and are monitored using objective indicators (sales, turnaround time, error rates) alongside subjective assessments such as stakeholder views and employee engagement. Performance also captures an organisation’s capacity to respond to changing demands, maintain reliable routines, and refresh practices when new challenges arise (Akgün &amp; Keskin, 2014).</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Cultural diversity affects these performance elements through several pathways. Differences in values, communication habits, and problem-solving approaches widen the pool of ideas available for innovation and adaptation, while language and social norms influence everyday coordination and decision speed (</w:t>
      </w:r>
      <w:proofErr w:type="spellStart"/>
      <w:r>
        <w:rPr>
          <w:rFonts w:eastAsiaTheme="majorEastAsia" w:cs="Times New Roman"/>
          <w:spacing w:val="-10"/>
          <w:kern w:val="28"/>
          <w:szCs w:val="24"/>
        </w:rPr>
        <w:t>Ozgen</w:t>
      </w:r>
      <w:proofErr w:type="spellEnd"/>
      <w:r>
        <w:rPr>
          <w:rFonts w:eastAsiaTheme="majorEastAsia" w:cs="Times New Roman"/>
          <w:spacing w:val="-10"/>
          <w:kern w:val="28"/>
          <w:szCs w:val="24"/>
        </w:rPr>
        <w:t xml:space="preserve"> </w:t>
      </w:r>
      <w:r>
        <w:rPr>
          <w:rFonts w:eastAsiaTheme="majorEastAsia" w:cs="Times New Roman"/>
          <w:i/>
          <w:iCs/>
          <w:spacing w:val="-10"/>
          <w:kern w:val="28"/>
          <w:szCs w:val="24"/>
        </w:rPr>
        <w:t xml:space="preserve">et </w:t>
      </w:r>
      <w:r>
        <w:rPr>
          <w:rFonts w:eastAsiaTheme="majorEastAsia" w:cs="Times New Roman"/>
          <w:i/>
          <w:iCs/>
          <w:spacing w:val="-10"/>
          <w:kern w:val="28"/>
          <w:szCs w:val="24"/>
        </w:rPr>
        <w:lastRenderedPageBreak/>
        <w:t>al.,</w:t>
      </w:r>
      <w:r>
        <w:rPr>
          <w:rFonts w:eastAsiaTheme="majorEastAsia" w:cs="Times New Roman"/>
          <w:spacing w:val="-10"/>
          <w:kern w:val="28"/>
          <w:szCs w:val="24"/>
        </w:rPr>
        <w:t xml:space="preserve"> 2014). Cultural variety can shape staff engagement and turnover depending on whether employees feel understood and included, and it can affect external relationships when staff better reflect client groups (Rutishauser &amp; Sender, 2021). Mismatched expectations or unaligned interaction norms can cause friction, raise coordination costs, or slow processes, so the link between cultural diversity and performance depends on how such differences are handled in routine work (Vangen &amp; Winchester, 2014; Tabassi, Abdullah &amp; Bryde, 2019).</w:t>
      </w:r>
    </w:p>
    <w:p w:rsidR="005A647A" w:rsidRDefault="005A647A" w:rsidP="005A647A">
      <w:pPr>
        <w:pStyle w:val="ListParagraph"/>
        <w:numPr>
          <w:ilvl w:val="0"/>
          <w:numId w:val="3"/>
        </w:numPr>
        <w:spacing w:line="240" w:lineRule="auto"/>
        <w:rPr>
          <w:rFonts w:eastAsiaTheme="majorEastAsia" w:cs="Times New Roman"/>
          <w:b/>
          <w:bCs/>
          <w:spacing w:val="-10"/>
          <w:kern w:val="28"/>
          <w:szCs w:val="24"/>
        </w:rPr>
      </w:pPr>
      <w:r>
        <w:rPr>
          <w:rFonts w:eastAsiaTheme="majorEastAsia" w:cs="Times New Roman"/>
          <w:b/>
          <w:bCs/>
          <w:spacing w:val="-10"/>
          <w:kern w:val="28"/>
          <w:szCs w:val="24"/>
        </w:rPr>
        <w:t>Theoretical Review</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 xml:space="preserve">Cognitive Diversity Theory explains that people think and process information differently because of their unique experiences, knowledge, cultures, and problem-solving styles (Bender &amp; Beller, 2016). These differences shape how individuals approach challenges, share ideas, and make decisions at work. The theory suggests that varied ways of thinking expand the range of perspectives available for solving complex problems (Miller </w:t>
      </w:r>
      <w:r>
        <w:rPr>
          <w:rFonts w:eastAsiaTheme="majorEastAsia" w:cs="Times New Roman"/>
          <w:i/>
          <w:iCs/>
          <w:spacing w:val="-10"/>
          <w:kern w:val="28"/>
          <w:szCs w:val="24"/>
        </w:rPr>
        <w:t>et al.,</w:t>
      </w:r>
      <w:r>
        <w:rPr>
          <w:rFonts w:eastAsiaTheme="majorEastAsia" w:cs="Times New Roman"/>
          <w:spacing w:val="-10"/>
          <w:kern w:val="28"/>
          <w:szCs w:val="24"/>
        </w:rPr>
        <w:t xml:space="preserve"> 2022). In this study, the theory helps to show how culturally diverse employees bring unique viewpoints that influence group reasoning and decision-making. It recognises that cultural backgrounds shape how people perceive, evaluate, and interpret situations, helping organisations understand why diverse teams often generate creative solutions and adapt more easily to new demands. As Martins &amp; Sohn (2022) note, interactions among people with different thinking patterns can affect how communication flows, how well teams collaborate, and how effective organisational processes become. Through this lens, the theory connects cultural diversity to visible differences in organisational performance.</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Another theory underpinning this study is the Social Identity Theory. Social Identity Theory helps explain how people see themselves and others based on their membership in social groups such as culture, ethnicity, language, or nationality (Hogg, 2016). These group affiliations influence attitudes, perceptions, and behaviours, shaping how individuals interact and work together in organisations. The theory proposes that people draw part of their self-concept from their group membership, which can create distinctions between “in-groups” and “out-groups” that influence trust, communication, and cooperation (</w:t>
      </w:r>
      <w:proofErr w:type="spellStart"/>
      <w:r>
        <w:rPr>
          <w:rFonts w:eastAsiaTheme="majorEastAsia" w:cs="Times New Roman"/>
          <w:spacing w:val="-10"/>
          <w:kern w:val="28"/>
          <w:szCs w:val="24"/>
        </w:rPr>
        <w:t>Trepte</w:t>
      </w:r>
      <w:proofErr w:type="spellEnd"/>
      <w:r>
        <w:rPr>
          <w:rFonts w:eastAsiaTheme="majorEastAsia" w:cs="Times New Roman"/>
          <w:spacing w:val="-10"/>
          <w:kern w:val="28"/>
          <w:szCs w:val="24"/>
        </w:rPr>
        <w:t xml:space="preserve"> &amp; Loy, 2017; Khadka, 2024). In this study, the theory helps explain how cultural diversity affects relationships among employees, as individuals may adapt to group norms or respond differently to colleagues from other cultural backgrounds. It also clarifies how identity-based perceptions influence workplace interactions, inclusion, and information sharing, all of which can impact efficiency and goal achievement (Fang &amp; Qin, 2025). Recognising that cultural identity shapes how employees understand themselves and others, the theory provides insight into the social processes through which cultural diversity influences collaboration and organisational performance.</w:t>
      </w:r>
    </w:p>
    <w:p w:rsidR="005A647A" w:rsidRDefault="005A647A" w:rsidP="005A647A">
      <w:pPr>
        <w:spacing w:line="240" w:lineRule="auto"/>
        <w:rPr>
          <w:rFonts w:eastAsiaTheme="majorEastAsia" w:cs="Times New Roman"/>
          <w:spacing w:val="-10"/>
          <w:kern w:val="28"/>
          <w:szCs w:val="24"/>
        </w:rPr>
      </w:pPr>
    </w:p>
    <w:p w:rsidR="005A647A" w:rsidRDefault="005A647A" w:rsidP="005A647A">
      <w:pPr>
        <w:pStyle w:val="ListParagraph"/>
        <w:numPr>
          <w:ilvl w:val="0"/>
          <w:numId w:val="3"/>
        </w:numPr>
        <w:spacing w:line="240" w:lineRule="auto"/>
        <w:rPr>
          <w:rFonts w:eastAsiaTheme="majorEastAsia" w:cs="Times New Roman"/>
          <w:spacing w:val="-10"/>
          <w:kern w:val="28"/>
          <w:szCs w:val="24"/>
        </w:rPr>
      </w:pPr>
      <w:r>
        <w:rPr>
          <w:rFonts w:eastAsiaTheme="majorEastAsia" w:cs="Times New Roman"/>
          <w:b/>
          <w:bCs/>
          <w:spacing w:val="-10"/>
          <w:kern w:val="28"/>
          <w:szCs w:val="24"/>
        </w:rPr>
        <w:t>Empirical Review</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Pieterse, Van Knippenberg, and Van Dierendonck (2013) explored how cultural diversity affects team performance through the moderating influence of team members’ goal orientation. Their study examined the effect of diversity on team outcomes, noting that achievement settings often activate different motivational patterns. Across two empirical studies, they found that teams perform better when members have a strong learning approach orientation and a low performance avoidance orientation. The results showed that information sharing and processing among team members—known as team information elaboration—explains how diversity contributes to performance. Learning-oriented teams benefit more from diversity by integrating different viewpoints, while low performance-avoidant teams struggle with collaboration. The study concluded that team motivation determines how effectively cultural diversity enhances performance, highlighting the value of promoting learning-oriented work cultures.</w:t>
      </w:r>
    </w:p>
    <w:p w:rsidR="005A647A" w:rsidRDefault="005A647A" w:rsidP="005A647A">
      <w:pPr>
        <w:spacing w:line="240" w:lineRule="auto"/>
        <w:rPr>
          <w:rFonts w:eastAsiaTheme="majorEastAsia" w:cs="Times New Roman"/>
          <w:spacing w:val="-10"/>
          <w:kern w:val="28"/>
          <w:szCs w:val="24"/>
        </w:rPr>
      </w:pPr>
      <w:proofErr w:type="spellStart"/>
      <w:r>
        <w:rPr>
          <w:rFonts w:eastAsiaTheme="majorEastAsia" w:cs="Times New Roman"/>
          <w:spacing w:val="-10"/>
          <w:kern w:val="28"/>
          <w:szCs w:val="24"/>
        </w:rPr>
        <w:lastRenderedPageBreak/>
        <w:t>Nnabuife</w:t>
      </w:r>
      <w:proofErr w:type="spellEnd"/>
      <w:r>
        <w:rPr>
          <w:rFonts w:eastAsiaTheme="majorEastAsia" w:cs="Times New Roman"/>
          <w:spacing w:val="-10"/>
          <w:kern w:val="28"/>
          <w:szCs w:val="24"/>
        </w:rPr>
        <w:t xml:space="preserve"> and Ikemefuna (2020) conducted a comparative study on diversity management and employee engagement across tertiary institutions in North Central Nigeria. Using a survey design, data were collected from 378 respondents drawn from nine universities across three states. The study examined whether diversity management practices—particularly cultural synergy—significantly influenced employee engagement and promotion. Analysis using descriptive statistics and the Kruskal-</w:t>
      </w:r>
      <w:proofErr w:type="gramStart"/>
      <w:r>
        <w:rPr>
          <w:rFonts w:eastAsiaTheme="majorEastAsia" w:cs="Times New Roman"/>
          <w:spacing w:val="-10"/>
          <w:kern w:val="28"/>
          <w:szCs w:val="24"/>
        </w:rPr>
        <w:t>Wallis</w:t>
      </w:r>
      <w:proofErr w:type="gramEnd"/>
      <w:r>
        <w:rPr>
          <w:rFonts w:eastAsiaTheme="majorEastAsia" w:cs="Times New Roman"/>
          <w:spacing w:val="-10"/>
          <w:kern w:val="28"/>
          <w:szCs w:val="24"/>
        </w:rPr>
        <w:t xml:space="preserve"> test showed no significant difference in the relationship between cultural synergy and employee promotion across institutions. The authors concluded that both public and private universities operate under similar diversity and promotion standards due to centralized regulatory frameworks, such as the National Universities Commission.</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 xml:space="preserve">Olu-Ogunleye, Akanji, Olanipekun, and </w:t>
      </w:r>
      <w:proofErr w:type="spellStart"/>
      <w:r>
        <w:rPr>
          <w:rFonts w:eastAsiaTheme="majorEastAsia" w:cs="Times New Roman"/>
          <w:spacing w:val="-10"/>
          <w:kern w:val="28"/>
          <w:szCs w:val="24"/>
        </w:rPr>
        <w:t>Ihedinma</w:t>
      </w:r>
      <w:proofErr w:type="spellEnd"/>
      <w:r>
        <w:rPr>
          <w:rFonts w:eastAsiaTheme="majorEastAsia" w:cs="Times New Roman"/>
          <w:spacing w:val="-10"/>
          <w:kern w:val="28"/>
          <w:szCs w:val="24"/>
        </w:rPr>
        <w:t xml:space="preserve"> (2023) investigated the effect of workplace diversity on organisational performance in selected private universities in Southwestern Nigeria, drawing on the Social Identity Theory and Resource-Based View. Using data from 138 respondents across Achievers University, Afe Babalola University, and Bowen University, the study found that age diversity significantly influenced task performance (r = 0.869, p &lt; 0.05), gender diversity affected adaptive performance (r = 0.905, p &lt; 0.05), and ethnic diversity positively impacted contextual performance (r = 0.959, p &lt; 0.05). The study concluded that workforce diversity enhances organisational outcomes by fostering inclusiveness and representation, recommending that university management adopt equitable policies that support fair treatment and professional growth across all demographic categories.</w:t>
      </w:r>
    </w:p>
    <w:p w:rsidR="005A647A" w:rsidRDefault="005A647A" w:rsidP="005A647A">
      <w:pPr>
        <w:spacing w:line="240" w:lineRule="auto"/>
        <w:rPr>
          <w:rFonts w:eastAsiaTheme="majorEastAsia" w:cs="Times New Roman"/>
          <w:spacing w:val="-10"/>
          <w:kern w:val="28"/>
          <w:szCs w:val="24"/>
        </w:rPr>
      </w:pPr>
      <w:proofErr w:type="spellStart"/>
      <w:r>
        <w:rPr>
          <w:rFonts w:eastAsiaTheme="majorEastAsia" w:cs="Times New Roman"/>
          <w:spacing w:val="-10"/>
          <w:kern w:val="28"/>
          <w:szCs w:val="24"/>
        </w:rPr>
        <w:t>Onwuzu</w:t>
      </w:r>
      <w:proofErr w:type="spellEnd"/>
      <w:r>
        <w:rPr>
          <w:rFonts w:eastAsiaTheme="majorEastAsia" w:cs="Times New Roman"/>
          <w:spacing w:val="-10"/>
          <w:kern w:val="28"/>
          <w:szCs w:val="24"/>
        </w:rPr>
        <w:t xml:space="preserve"> and Nnamani (2023) studied the effect of cultural diversity on organisational performance at Nigerian Breweries Plc, Ninth Mile Enugu. Using a descriptive survey design and a sample of 279 employees, data were collected through structured questionnaires and analysed using descriptive statistics and linear regression. The results showed that ethnic diversity significantly improved organisational efficiency (r = .898, p &lt; .05), while religious diversity strengthened employee commitment (r = .846, p &lt; .05). The study concluded that effective management of diversity increases dedication and efficiency, and it encouraged equitable employment practices, reduced ethnic discrimination, and regular diversity training to foster inclusion and teamwork.</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 xml:space="preserve">Alade and </w:t>
      </w:r>
      <w:proofErr w:type="spellStart"/>
      <w:r>
        <w:rPr>
          <w:rFonts w:eastAsiaTheme="majorEastAsia" w:cs="Times New Roman"/>
          <w:spacing w:val="-10"/>
          <w:kern w:val="28"/>
          <w:szCs w:val="24"/>
        </w:rPr>
        <w:t>Adeyokun</w:t>
      </w:r>
      <w:proofErr w:type="spellEnd"/>
      <w:r>
        <w:rPr>
          <w:rFonts w:eastAsiaTheme="majorEastAsia" w:cs="Times New Roman"/>
          <w:spacing w:val="-10"/>
          <w:kern w:val="28"/>
          <w:szCs w:val="24"/>
        </w:rPr>
        <w:t xml:space="preserve"> (2024) investigated how human resource practices moderate the relationship between cultural diversity and organizational effectiveness at the Federal Polytechnic, Ede. Using a descriptive survey design and data from 100 randomly selected employees, the study employed regression analysis to assess the influence of HR practices and cultural diversity on organizational outcomes. Findings showed a significant positive correlation between cultural diversity and organizational effectiveness, with HR practices strengthening this relationship. The study further revealed that culturally diverse organizations tend to experience higher innovation, stronger employee engagement, and better problem-solving capacity. It concluded that effective HR practices enhance the benefits of diversity, fostering a more dynamic and productive organizational environment.</w:t>
      </w:r>
    </w:p>
    <w:p w:rsidR="005A647A" w:rsidRDefault="005A647A" w:rsidP="005A647A">
      <w:pPr>
        <w:pStyle w:val="ListParagraph"/>
        <w:numPr>
          <w:ilvl w:val="0"/>
          <w:numId w:val="3"/>
        </w:numPr>
        <w:spacing w:line="240" w:lineRule="auto"/>
        <w:rPr>
          <w:rFonts w:eastAsiaTheme="majorEastAsia" w:cs="Times New Roman"/>
          <w:b/>
          <w:bCs/>
          <w:spacing w:val="-10"/>
          <w:kern w:val="28"/>
          <w:szCs w:val="24"/>
        </w:rPr>
      </w:pPr>
      <w:r>
        <w:rPr>
          <w:rFonts w:eastAsiaTheme="majorEastAsia" w:cs="Times New Roman"/>
          <w:b/>
          <w:bCs/>
          <w:spacing w:val="-10"/>
          <w:kern w:val="28"/>
          <w:szCs w:val="24"/>
        </w:rPr>
        <w:t>Methodology</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A survey research design and a deductive approach were adopted, using quantitative methods to measure variables. The study was conducted in Oyo State, specifically Oyo Town and Ibadan, which host the largest concentration of private universities in the state. For ethical reasons, the names of the two selected universities are not disclosed. The population included staff from the faculties with the highest student enrolment (Faculty of Natural Sciences and Faculty of Humanities), along with staff from the Bursary Department and Registry due to the sensitive nature of their roles. Purposive sampling was applied to select the universities, while stratified sampling was used to identify respondents.</w:t>
      </w:r>
    </w:p>
    <w:p w:rsidR="005A647A" w:rsidRPr="00283D80"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lastRenderedPageBreak/>
        <w:t>Data were gathered through questionnaires as the primary source and through journals, textbooks, progress reports, annual reports, bulletins, and online resources as secondary sources. Both descriptive and inferential statistics were employed in the analysis. Pearson’s product moment correlation coefficient (r) was used to examine linear relationships among variables, while multiple regression analysis was applied to evaluate the effect of cultural diversity on organizational performance. All statistical tests were performed using SPSS and evaluated at the 0.05 significance level.</w:t>
      </w:r>
    </w:p>
    <w:p w:rsidR="005A647A" w:rsidRDefault="005A647A" w:rsidP="005A647A">
      <w:pPr>
        <w:pStyle w:val="ListParagraph"/>
        <w:numPr>
          <w:ilvl w:val="0"/>
          <w:numId w:val="3"/>
        </w:numPr>
        <w:spacing w:line="240" w:lineRule="auto"/>
        <w:rPr>
          <w:rFonts w:eastAsiaTheme="majorEastAsia" w:cs="Times New Roman"/>
          <w:b/>
          <w:bCs/>
          <w:spacing w:val="-10"/>
          <w:kern w:val="28"/>
          <w:szCs w:val="24"/>
        </w:rPr>
      </w:pPr>
      <w:r>
        <w:rPr>
          <w:rFonts w:eastAsiaTheme="majorEastAsia" w:cs="Times New Roman"/>
          <w:b/>
          <w:bCs/>
          <w:spacing w:val="-10"/>
          <w:kern w:val="28"/>
          <w:szCs w:val="24"/>
        </w:rPr>
        <w:t>Findings and Discussion</w:t>
      </w:r>
    </w:p>
    <w:p w:rsidR="005A647A" w:rsidRDefault="005A647A" w:rsidP="005A647A">
      <w:pPr>
        <w:pStyle w:val="ListParagraph"/>
        <w:numPr>
          <w:ilvl w:val="1"/>
          <w:numId w:val="3"/>
        </w:numPr>
        <w:spacing w:line="240" w:lineRule="auto"/>
        <w:rPr>
          <w:rFonts w:eastAsiaTheme="majorEastAsia" w:cs="Times New Roman"/>
          <w:b/>
          <w:bCs/>
          <w:spacing w:val="-10"/>
          <w:kern w:val="28"/>
          <w:szCs w:val="24"/>
        </w:rPr>
      </w:pPr>
      <w:r>
        <w:rPr>
          <w:rFonts w:eastAsiaTheme="majorEastAsia" w:cs="Times New Roman"/>
          <w:b/>
          <w:bCs/>
          <w:spacing w:val="-10"/>
          <w:kern w:val="28"/>
          <w:szCs w:val="24"/>
        </w:rPr>
        <w:t>Demographic Data of Respondents</w:t>
      </w:r>
    </w:p>
    <w:p w:rsidR="005A647A" w:rsidRDefault="005A647A" w:rsidP="005A647A">
      <w:pPr>
        <w:spacing w:line="240" w:lineRule="auto"/>
        <w:rPr>
          <w:rFonts w:eastAsiaTheme="majorEastAsia" w:cs="Times New Roman"/>
          <w:bCs/>
          <w:spacing w:val="-10"/>
          <w:kern w:val="28"/>
          <w:szCs w:val="24"/>
        </w:rPr>
      </w:pPr>
      <w:bookmarkStart w:id="0" w:name="_Hlk210387232"/>
      <w:r>
        <w:rPr>
          <w:rFonts w:eastAsiaTheme="majorEastAsia" w:cs="Times New Roman"/>
          <w:bCs/>
          <w:spacing w:val="-10"/>
          <w:kern w:val="28"/>
          <w:szCs w:val="24"/>
        </w:rPr>
        <w:t xml:space="preserve">Table 1: Demographic Data of Respondents </w:t>
      </w:r>
    </w:p>
    <w:tbl>
      <w:tblPr>
        <w:tblW w:w="963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5"/>
        <w:gridCol w:w="15"/>
        <w:gridCol w:w="2310"/>
        <w:gridCol w:w="2160"/>
        <w:gridCol w:w="1980"/>
      </w:tblGrid>
      <w:tr w:rsidR="005A647A" w:rsidTr="00E65ADA">
        <w:tc>
          <w:tcPr>
            <w:tcW w:w="3165" w:type="dxa"/>
            <w:tcBorders>
              <w:right w:val="single" w:sz="4" w:space="0" w:color="auto"/>
            </w:tcBorders>
          </w:tcPr>
          <w:p w:rsidR="005A647A" w:rsidRDefault="005A647A" w:rsidP="00E65ADA">
            <w:pPr>
              <w:spacing w:line="240" w:lineRule="auto"/>
              <w:rPr>
                <w:rFonts w:eastAsiaTheme="majorEastAsia" w:cs="Times New Roman"/>
                <w:b/>
                <w:i/>
                <w:spacing w:val="-10"/>
                <w:kern w:val="28"/>
                <w:szCs w:val="24"/>
              </w:rPr>
            </w:pPr>
            <w:r>
              <w:rPr>
                <w:rFonts w:eastAsiaTheme="majorEastAsia" w:cs="Times New Roman"/>
                <w:b/>
                <w:spacing w:val="-10"/>
                <w:kern w:val="28"/>
                <w:szCs w:val="24"/>
              </w:rPr>
              <w:t>Characteristics</w:t>
            </w:r>
          </w:p>
        </w:tc>
        <w:tc>
          <w:tcPr>
            <w:tcW w:w="2325" w:type="dxa"/>
            <w:gridSpan w:val="2"/>
            <w:tcBorders>
              <w:left w:val="single" w:sz="4" w:space="0" w:color="auto"/>
            </w:tcBorders>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Variables</w:t>
            </w:r>
          </w:p>
        </w:tc>
        <w:tc>
          <w:tcPr>
            <w:tcW w:w="2160" w:type="dxa"/>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Frequency (N)</w:t>
            </w:r>
          </w:p>
        </w:tc>
        <w:tc>
          <w:tcPr>
            <w:tcW w:w="1980" w:type="dxa"/>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Percentage (%)</w:t>
            </w:r>
          </w:p>
        </w:tc>
      </w:tr>
      <w:tr w:rsidR="005A647A" w:rsidTr="00E65ADA">
        <w:tc>
          <w:tcPr>
            <w:tcW w:w="3165" w:type="dxa"/>
            <w:vMerge w:val="restart"/>
            <w:tcBorders>
              <w:right w:val="single" w:sz="4" w:space="0" w:color="auto"/>
            </w:tcBorders>
          </w:tcPr>
          <w:p w:rsidR="005A647A" w:rsidRDefault="005A647A" w:rsidP="00E65ADA">
            <w:pPr>
              <w:spacing w:line="240" w:lineRule="auto"/>
              <w:rPr>
                <w:rFonts w:eastAsiaTheme="majorEastAsia" w:cs="Times New Roman"/>
                <w:b/>
                <w:bCs/>
                <w:spacing w:val="-10"/>
                <w:kern w:val="28"/>
                <w:szCs w:val="24"/>
              </w:rPr>
            </w:pPr>
          </w:p>
          <w:p w:rsidR="005A647A" w:rsidRDefault="005A647A" w:rsidP="00E65ADA">
            <w:pPr>
              <w:spacing w:line="240" w:lineRule="auto"/>
              <w:rPr>
                <w:rFonts w:eastAsiaTheme="majorEastAsia" w:cs="Times New Roman"/>
                <w:b/>
                <w:bCs/>
                <w:spacing w:val="-10"/>
                <w:kern w:val="28"/>
                <w:szCs w:val="24"/>
              </w:rPr>
            </w:pPr>
          </w:p>
          <w:p w:rsidR="005A647A" w:rsidRDefault="005A647A" w:rsidP="00E65ADA">
            <w:pPr>
              <w:spacing w:line="240" w:lineRule="auto"/>
              <w:rPr>
                <w:rFonts w:eastAsiaTheme="majorEastAsia" w:cs="Times New Roman"/>
                <w:spacing w:val="-10"/>
                <w:kern w:val="28"/>
                <w:szCs w:val="24"/>
              </w:rPr>
            </w:pPr>
            <w:r>
              <w:rPr>
                <w:rFonts w:eastAsiaTheme="majorEastAsia" w:cs="Times New Roman"/>
                <w:b/>
                <w:bCs/>
                <w:spacing w:val="-10"/>
                <w:kern w:val="28"/>
                <w:szCs w:val="24"/>
              </w:rPr>
              <w:t>Gender</w:t>
            </w: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Female</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144</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48.0</w:t>
            </w:r>
          </w:p>
        </w:tc>
      </w:tr>
      <w:tr w:rsidR="005A647A" w:rsidTr="00E65ADA">
        <w:tc>
          <w:tcPr>
            <w:tcW w:w="3165" w:type="dxa"/>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Male</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156</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52.0</w:t>
            </w:r>
          </w:p>
        </w:tc>
      </w:tr>
      <w:tr w:rsidR="005A647A" w:rsidTr="00E65ADA">
        <w:tc>
          <w:tcPr>
            <w:tcW w:w="3165" w:type="dxa"/>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Total</w:t>
            </w:r>
          </w:p>
        </w:tc>
        <w:tc>
          <w:tcPr>
            <w:tcW w:w="2160" w:type="dxa"/>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300</w:t>
            </w:r>
          </w:p>
        </w:tc>
        <w:tc>
          <w:tcPr>
            <w:tcW w:w="1980" w:type="dxa"/>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100.0</w:t>
            </w:r>
          </w:p>
        </w:tc>
      </w:tr>
      <w:tr w:rsidR="005A647A" w:rsidTr="00E65ADA">
        <w:tc>
          <w:tcPr>
            <w:tcW w:w="9630" w:type="dxa"/>
            <w:gridSpan w:val="5"/>
            <w:vAlign w:val="center"/>
          </w:tcPr>
          <w:p w:rsidR="005A647A" w:rsidRDefault="005A647A" w:rsidP="00E65ADA">
            <w:pPr>
              <w:spacing w:line="240" w:lineRule="auto"/>
              <w:rPr>
                <w:rFonts w:eastAsiaTheme="majorEastAsia" w:cs="Times New Roman"/>
                <w:b/>
                <w:spacing w:val="-10"/>
                <w:kern w:val="28"/>
                <w:szCs w:val="24"/>
              </w:rPr>
            </w:pPr>
          </w:p>
        </w:tc>
      </w:tr>
      <w:tr w:rsidR="005A647A" w:rsidTr="00E65ADA">
        <w:tc>
          <w:tcPr>
            <w:tcW w:w="3165" w:type="dxa"/>
            <w:vMerge w:val="restart"/>
            <w:tcBorders>
              <w:top w:val="single" w:sz="4" w:space="0" w:color="auto"/>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bCs/>
                <w:spacing w:val="-10"/>
                <w:kern w:val="28"/>
                <w:szCs w:val="24"/>
              </w:rPr>
              <w:t>Age Group</w:t>
            </w: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18-30years</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15</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5.0</w:t>
            </w:r>
          </w:p>
        </w:tc>
      </w:tr>
      <w:tr w:rsidR="005A647A" w:rsidTr="00E65ADA">
        <w:tc>
          <w:tcPr>
            <w:tcW w:w="3165" w:type="dxa"/>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31-40years</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104</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34.7</w:t>
            </w:r>
          </w:p>
        </w:tc>
      </w:tr>
      <w:tr w:rsidR="005A647A" w:rsidTr="00E65ADA">
        <w:tc>
          <w:tcPr>
            <w:tcW w:w="3165" w:type="dxa"/>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41-50years</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167</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55.7</w:t>
            </w:r>
          </w:p>
        </w:tc>
      </w:tr>
      <w:tr w:rsidR="005A647A" w:rsidTr="00E65ADA">
        <w:tc>
          <w:tcPr>
            <w:tcW w:w="3165" w:type="dxa"/>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50years and above</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14</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4.7</w:t>
            </w:r>
          </w:p>
        </w:tc>
      </w:tr>
      <w:tr w:rsidR="005A647A" w:rsidTr="00E65ADA">
        <w:tc>
          <w:tcPr>
            <w:tcW w:w="3165" w:type="dxa"/>
            <w:vMerge/>
            <w:tcBorders>
              <w:bottom w:val="single" w:sz="4" w:space="0" w:color="auto"/>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Total</w:t>
            </w:r>
          </w:p>
        </w:tc>
        <w:tc>
          <w:tcPr>
            <w:tcW w:w="2160" w:type="dxa"/>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300</w:t>
            </w:r>
          </w:p>
        </w:tc>
        <w:tc>
          <w:tcPr>
            <w:tcW w:w="1980" w:type="dxa"/>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100.0</w:t>
            </w:r>
          </w:p>
        </w:tc>
      </w:tr>
      <w:tr w:rsidR="005A647A" w:rsidTr="00E65ADA">
        <w:tc>
          <w:tcPr>
            <w:tcW w:w="9630" w:type="dxa"/>
            <w:gridSpan w:val="5"/>
            <w:tcBorders>
              <w:top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r>
      <w:tr w:rsidR="005A647A" w:rsidTr="00E65ADA">
        <w:tc>
          <w:tcPr>
            <w:tcW w:w="3165" w:type="dxa"/>
            <w:vMerge w:val="restart"/>
            <w:tcBorders>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bCs/>
                <w:spacing w:val="-10"/>
                <w:kern w:val="28"/>
                <w:szCs w:val="24"/>
              </w:rPr>
              <w:t>Marital Status</w:t>
            </w: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Single</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15</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5.0</w:t>
            </w:r>
          </w:p>
        </w:tc>
      </w:tr>
      <w:tr w:rsidR="005A647A" w:rsidTr="00E65ADA">
        <w:tc>
          <w:tcPr>
            <w:tcW w:w="3165" w:type="dxa"/>
            <w:vMerge/>
            <w:tcBorders>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Married</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268</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89.3</w:t>
            </w:r>
          </w:p>
        </w:tc>
      </w:tr>
      <w:tr w:rsidR="005A647A" w:rsidTr="00E65ADA">
        <w:tc>
          <w:tcPr>
            <w:tcW w:w="3165" w:type="dxa"/>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Others</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17</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5.7</w:t>
            </w:r>
          </w:p>
        </w:tc>
      </w:tr>
      <w:tr w:rsidR="005A647A" w:rsidTr="00E65ADA">
        <w:tc>
          <w:tcPr>
            <w:tcW w:w="3165" w:type="dxa"/>
            <w:vMerge/>
            <w:tcBorders>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Total</w:t>
            </w:r>
          </w:p>
        </w:tc>
        <w:tc>
          <w:tcPr>
            <w:tcW w:w="2160" w:type="dxa"/>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300</w:t>
            </w:r>
          </w:p>
        </w:tc>
        <w:tc>
          <w:tcPr>
            <w:tcW w:w="1980" w:type="dxa"/>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100.0</w:t>
            </w:r>
          </w:p>
        </w:tc>
      </w:tr>
      <w:tr w:rsidR="005A647A" w:rsidTr="00E65ADA">
        <w:tc>
          <w:tcPr>
            <w:tcW w:w="9630" w:type="dxa"/>
            <w:gridSpan w:val="5"/>
            <w:vAlign w:val="center"/>
          </w:tcPr>
          <w:p w:rsidR="005A647A" w:rsidRDefault="005A647A" w:rsidP="00E65ADA">
            <w:pPr>
              <w:spacing w:line="240" w:lineRule="auto"/>
              <w:rPr>
                <w:rFonts w:eastAsiaTheme="majorEastAsia" w:cs="Times New Roman"/>
                <w:spacing w:val="-10"/>
                <w:kern w:val="28"/>
                <w:szCs w:val="24"/>
              </w:rPr>
            </w:pPr>
          </w:p>
        </w:tc>
      </w:tr>
      <w:tr w:rsidR="005A647A" w:rsidTr="00E65ADA">
        <w:tc>
          <w:tcPr>
            <w:tcW w:w="3165" w:type="dxa"/>
            <w:vMerge w:val="restart"/>
            <w:tcBorders>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p>
        </w:tc>
        <w:tc>
          <w:tcPr>
            <w:tcW w:w="2325" w:type="dxa"/>
            <w:gridSpan w:val="2"/>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Hausa</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12</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4.0</w:t>
            </w:r>
          </w:p>
        </w:tc>
      </w:tr>
      <w:tr w:rsidR="005A647A" w:rsidTr="00E65ADA">
        <w:tc>
          <w:tcPr>
            <w:tcW w:w="3165" w:type="dxa"/>
            <w:vMerge/>
            <w:tcBorders>
              <w:bottom w:val="nil"/>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p>
        </w:tc>
        <w:tc>
          <w:tcPr>
            <w:tcW w:w="2325" w:type="dxa"/>
            <w:gridSpan w:val="2"/>
            <w:tcBorders>
              <w:left w:val="single" w:sz="4" w:space="0" w:color="auto"/>
              <w:bottom w:val="nil"/>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Ibibio</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1.3</w:t>
            </w:r>
          </w:p>
        </w:tc>
      </w:tr>
      <w:tr w:rsidR="005A647A" w:rsidTr="00E65ADA">
        <w:tc>
          <w:tcPr>
            <w:tcW w:w="3180" w:type="dxa"/>
            <w:gridSpan w:val="2"/>
            <w:vMerge w:val="restart"/>
            <w:tcBorders>
              <w:top w:val="nil"/>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bCs/>
                <w:spacing w:val="-10"/>
                <w:kern w:val="28"/>
                <w:szCs w:val="24"/>
              </w:rPr>
              <w:t>Ethnic Group</w:t>
            </w:r>
          </w:p>
          <w:p w:rsidR="005A647A" w:rsidRDefault="005A647A" w:rsidP="00E65ADA">
            <w:pPr>
              <w:spacing w:line="240" w:lineRule="auto"/>
              <w:rPr>
                <w:rFonts w:eastAsiaTheme="majorEastAsia" w:cs="Times New Roman"/>
                <w:b/>
                <w:spacing w:val="-10"/>
                <w:kern w:val="28"/>
                <w:szCs w:val="24"/>
              </w:rPr>
            </w:pPr>
          </w:p>
          <w:p w:rsidR="005A647A" w:rsidRDefault="005A647A" w:rsidP="00E65ADA">
            <w:pPr>
              <w:spacing w:line="240" w:lineRule="auto"/>
              <w:rPr>
                <w:rFonts w:eastAsiaTheme="majorEastAsia" w:cs="Times New Roman"/>
                <w:b/>
                <w:spacing w:val="-10"/>
                <w:kern w:val="28"/>
                <w:szCs w:val="24"/>
              </w:rPr>
            </w:pPr>
          </w:p>
        </w:tc>
        <w:tc>
          <w:tcPr>
            <w:tcW w:w="2310" w:type="dxa"/>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Igbo</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91</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30.3</w:t>
            </w:r>
          </w:p>
        </w:tc>
      </w:tr>
      <w:tr w:rsidR="005A647A" w:rsidTr="00E65ADA">
        <w:tc>
          <w:tcPr>
            <w:tcW w:w="3180" w:type="dxa"/>
            <w:gridSpan w:val="2"/>
            <w:vMerge/>
            <w:tcBorders>
              <w:top w:val="nil"/>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Others</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1.3</w:t>
            </w:r>
          </w:p>
        </w:tc>
      </w:tr>
      <w:tr w:rsidR="005A647A" w:rsidTr="00E65ADA">
        <w:tc>
          <w:tcPr>
            <w:tcW w:w="3180" w:type="dxa"/>
            <w:gridSpan w:val="2"/>
            <w:vMerge/>
            <w:tcBorders>
              <w:top w:val="nil"/>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Yoruba</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189</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63.0</w:t>
            </w:r>
          </w:p>
        </w:tc>
      </w:tr>
      <w:tr w:rsidR="005A647A" w:rsidTr="00E65ADA">
        <w:tc>
          <w:tcPr>
            <w:tcW w:w="3180" w:type="dxa"/>
            <w:gridSpan w:val="2"/>
            <w:vMerge/>
            <w:tcBorders>
              <w:top w:val="nil"/>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p>
        </w:tc>
        <w:tc>
          <w:tcPr>
            <w:tcW w:w="2310" w:type="dxa"/>
            <w:tcBorders>
              <w:lef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Total</w:t>
            </w:r>
          </w:p>
        </w:tc>
        <w:tc>
          <w:tcPr>
            <w:tcW w:w="2160" w:type="dxa"/>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300</w:t>
            </w:r>
          </w:p>
        </w:tc>
        <w:tc>
          <w:tcPr>
            <w:tcW w:w="1980" w:type="dxa"/>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100.0</w:t>
            </w:r>
          </w:p>
        </w:tc>
      </w:tr>
      <w:tr w:rsidR="005A647A" w:rsidTr="00E65ADA">
        <w:tc>
          <w:tcPr>
            <w:tcW w:w="9630" w:type="dxa"/>
            <w:gridSpan w:val="5"/>
            <w:vAlign w:val="center"/>
          </w:tcPr>
          <w:p w:rsidR="005A647A" w:rsidRDefault="005A647A" w:rsidP="00E65ADA">
            <w:pPr>
              <w:spacing w:line="240" w:lineRule="auto"/>
              <w:rPr>
                <w:rFonts w:eastAsiaTheme="majorEastAsia" w:cs="Times New Roman"/>
                <w:spacing w:val="-10"/>
                <w:kern w:val="28"/>
                <w:szCs w:val="24"/>
              </w:rPr>
            </w:pPr>
          </w:p>
        </w:tc>
      </w:tr>
      <w:tr w:rsidR="005A647A" w:rsidTr="00E65ADA">
        <w:tc>
          <w:tcPr>
            <w:tcW w:w="3180" w:type="dxa"/>
            <w:gridSpan w:val="2"/>
            <w:vMerge w:val="restart"/>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b/>
                <w:bCs/>
                <w:spacing w:val="-10"/>
                <w:kern w:val="28"/>
                <w:szCs w:val="24"/>
              </w:rPr>
              <w:t>Highest Education Qualification</w:t>
            </w:r>
          </w:p>
        </w:tc>
        <w:tc>
          <w:tcPr>
            <w:tcW w:w="2310" w:type="dxa"/>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B.SC</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32</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10.7</w:t>
            </w:r>
          </w:p>
        </w:tc>
      </w:tr>
      <w:tr w:rsidR="005A647A" w:rsidTr="00E65ADA">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MSC/MBA</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189</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63.0</w:t>
            </w:r>
          </w:p>
        </w:tc>
      </w:tr>
      <w:tr w:rsidR="005A647A" w:rsidTr="00E65ADA">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p>
        </w:tc>
        <w:tc>
          <w:tcPr>
            <w:tcW w:w="2310" w:type="dxa"/>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OND/HND</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2</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.7</w:t>
            </w:r>
          </w:p>
        </w:tc>
      </w:tr>
      <w:tr w:rsidR="005A647A" w:rsidTr="00E65ADA">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p>
        </w:tc>
        <w:tc>
          <w:tcPr>
            <w:tcW w:w="2310" w:type="dxa"/>
            <w:tcBorders>
              <w:lef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PH. D</w:t>
            </w:r>
          </w:p>
        </w:tc>
        <w:tc>
          <w:tcPr>
            <w:tcW w:w="216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77</w:t>
            </w:r>
          </w:p>
        </w:tc>
        <w:tc>
          <w:tcPr>
            <w:tcW w:w="1980" w:type="dxa"/>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25.7</w:t>
            </w:r>
          </w:p>
        </w:tc>
      </w:tr>
      <w:tr w:rsidR="005A647A" w:rsidTr="00E65ADA">
        <w:trPr>
          <w:trHeight w:val="165"/>
        </w:trPr>
        <w:tc>
          <w:tcPr>
            <w:tcW w:w="3180" w:type="dxa"/>
            <w:gridSpan w:val="2"/>
            <w:vMerge/>
            <w:tcBorders>
              <w:bottom w:val="single" w:sz="4" w:space="0" w:color="auto"/>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left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Total</w:t>
            </w:r>
          </w:p>
        </w:tc>
        <w:tc>
          <w:tcPr>
            <w:tcW w:w="2160" w:type="dxa"/>
            <w:tcBorders>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300</w:t>
            </w:r>
          </w:p>
        </w:tc>
        <w:tc>
          <w:tcPr>
            <w:tcW w:w="1980" w:type="dxa"/>
            <w:tcBorders>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100.0</w:t>
            </w:r>
          </w:p>
        </w:tc>
      </w:tr>
      <w:tr w:rsidR="005A647A" w:rsidTr="00E65ADA">
        <w:trPr>
          <w:trHeight w:val="135"/>
        </w:trPr>
        <w:tc>
          <w:tcPr>
            <w:tcW w:w="9630" w:type="dxa"/>
            <w:gridSpan w:val="5"/>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r>
      <w:tr w:rsidR="005A647A" w:rsidTr="00E65ADA">
        <w:trPr>
          <w:trHeight w:val="126"/>
        </w:trPr>
        <w:tc>
          <w:tcPr>
            <w:tcW w:w="3180" w:type="dxa"/>
            <w:gridSpan w:val="2"/>
            <w:vMerge w:val="restart"/>
            <w:tcBorders>
              <w:top w:val="single" w:sz="4" w:space="0" w:color="auto"/>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b/>
                <w:bCs/>
                <w:spacing w:val="-10"/>
                <w:kern w:val="28"/>
                <w:szCs w:val="24"/>
              </w:rPr>
              <w:t>Working Experience</w:t>
            </w: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0-4years</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12</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4.0</w:t>
            </w:r>
          </w:p>
        </w:tc>
      </w:tr>
      <w:tr w:rsidR="005A647A" w:rsidTr="00E65ADA">
        <w:trPr>
          <w:trHeight w:val="154"/>
        </w:trPr>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5-8years</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14</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4.7</w:t>
            </w:r>
          </w:p>
        </w:tc>
      </w:tr>
      <w:tr w:rsidR="005A647A" w:rsidTr="00E65ADA">
        <w:trPr>
          <w:trHeight w:val="140"/>
        </w:trPr>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9-12years</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231</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77.0</w:t>
            </w:r>
          </w:p>
        </w:tc>
      </w:tr>
      <w:tr w:rsidR="005A647A" w:rsidTr="00E65ADA">
        <w:trPr>
          <w:trHeight w:val="152"/>
        </w:trPr>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13years and above</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43</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14.3</w:t>
            </w:r>
          </w:p>
        </w:tc>
      </w:tr>
      <w:tr w:rsidR="005A647A" w:rsidTr="00E65ADA">
        <w:trPr>
          <w:trHeight w:val="166"/>
        </w:trPr>
        <w:tc>
          <w:tcPr>
            <w:tcW w:w="3180" w:type="dxa"/>
            <w:gridSpan w:val="2"/>
            <w:vMerge/>
            <w:tcBorders>
              <w:bottom w:val="single" w:sz="4" w:space="0" w:color="auto"/>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Total</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300</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100.0</w:t>
            </w:r>
          </w:p>
        </w:tc>
      </w:tr>
      <w:tr w:rsidR="005A647A" w:rsidTr="00E65ADA">
        <w:trPr>
          <w:trHeight w:val="166"/>
        </w:trPr>
        <w:tc>
          <w:tcPr>
            <w:tcW w:w="9630" w:type="dxa"/>
            <w:gridSpan w:val="5"/>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r>
      <w:tr w:rsidR="005A647A" w:rsidTr="00E65ADA">
        <w:trPr>
          <w:trHeight w:val="140"/>
        </w:trPr>
        <w:tc>
          <w:tcPr>
            <w:tcW w:w="3180" w:type="dxa"/>
            <w:gridSpan w:val="2"/>
            <w:vMerge w:val="restart"/>
            <w:tcBorders>
              <w:top w:val="single" w:sz="4" w:space="0" w:color="auto"/>
              <w:right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bCs/>
                <w:spacing w:val="-10"/>
                <w:kern w:val="28"/>
                <w:szCs w:val="24"/>
              </w:rPr>
              <w:t>Level in Organization</w:t>
            </w: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Entry level</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13</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4.3</w:t>
            </w:r>
          </w:p>
        </w:tc>
      </w:tr>
      <w:tr w:rsidR="005A647A" w:rsidTr="00E65ADA">
        <w:trPr>
          <w:trHeight w:val="152"/>
        </w:trPr>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Junior Staff</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122</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40.7</w:t>
            </w:r>
          </w:p>
        </w:tc>
      </w:tr>
      <w:tr w:rsidR="005A647A" w:rsidTr="00E65ADA">
        <w:trPr>
          <w:trHeight w:val="166"/>
        </w:trPr>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Senior Staff</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160</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53.3</w:t>
            </w:r>
          </w:p>
        </w:tc>
      </w:tr>
      <w:tr w:rsidR="005A647A" w:rsidTr="00E65ADA">
        <w:trPr>
          <w:trHeight w:val="194"/>
        </w:trPr>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HOD/Dean</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5</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1.7</w:t>
            </w:r>
          </w:p>
        </w:tc>
      </w:tr>
      <w:tr w:rsidR="005A647A" w:rsidTr="00E65ADA">
        <w:trPr>
          <w:trHeight w:val="140"/>
        </w:trPr>
        <w:tc>
          <w:tcPr>
            <w:tcW w:w="3180" w:type="dxa"/>
            <w:gridSpan w:val="2"/>
            <w:vMerge/>
            <w:tcBorders>
              <w:bottom w:val="single" w:sz="4" w:space="0" w:color="auto"/>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Total</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300</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100.0</w:t>
            </w:r>
          </w:p>
        </w:tc>
      </w:tr>
      <w:tr w:rsidR="005A647A" w:rsidTr="00E65ADA">
        <w:trPr>
          <w:trHeight w:val="126"/>
        </w:trPr>
        <w:tc>
          <w:tcPr>
            <w:tcW w:w="9630" w:type="dxa"/>
            <w:gridSpan w:val="5"/>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r>
      <w:tr w:rsidR="005A647A" w:rsidTr="00E65ADA">
        <w:trPr>
          <w:trHeight w:val="195"/>
        </w:trPr>
        <w:tc>
          <w:tcPr>
            <w:tcW w:w="3180" w:type="dxa"/>
            <w:gridSpan w:val="2"/>
            <w:vMerge w:val="restart"/>
            <w:tcBorders>
              <w:top w:val="single" w:sz="4" w:space="0" w:color="auto"/>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b/>
                <w:bCs/>
                <w:spacing w:val="-10"/>
                <w:kern w:val="28"/>
                <w:szCs w:val="24"/>
              </w:rPr>
              <w:t>Religion</w:t>
            </w: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Christianity</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206</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68.7</w:t>
            </w:r>
          </w:p>
        </w:tc>
      </w:tr>
      <w:tr w:rsidR="005A647A" w:rsidTr="00E65ADA">
        <w:trPr>
          <w:trHeight w:val="240"/>
        </w:trPr>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Islam</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83</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27.7</w:t>
            </w:r>
          </w:p>
        </w:tc>
      </w:tr>
      <w:tr w:rsidR="005A647A" w:rsidTr="00E65ADA">
        <w:trPr>
          <w:trHeight w:val="181"/>
        </w:trPr>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Traditional</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3</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1.0</w:t>
            </w:r>
          </w:p>
        </w:tc>
      </w:tr>
      <w:tr w:rsidR="005A647A" w:rsidTr="00E65ADA">
        <w:trPr>
          <w:trHeight w:val="240"/>
        </w:trPr>
        <w:tc>
          <w:tcPr>
            <w:tcW w:w="3180" w:type="dxa"/>
            <w:gridSpan w:val="2"/>
            <w:vMerge/>
            <w:tcBorders>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Others</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8</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spacing w:val="-10"/>
                <w:kern w:val="28"/>
                <w:szCs w:val="24"/>
              </w:rPr>
            </w:pPr>
            <w:r>
              <w:rPr>
                <w:rFonts w:eastAsiaTheme="majorEastAsia" w:cs="Times New Roman"/>
                <w:spacing w:val="-10"/>
                <w:kern w:val="28"/>
                <w:szCs w:val="24"/>
              </w:rPr>
              <w:t>2.7</w:t>
            </w:r>
          </w:p>
        </w:tc>
      </w:tr>
      <w:tr w:rsidR="005A647A" w:rsidTr="00E65ADA">
        <w:trPr>
          <w:trHeight w:val="285"/>
        </w:trPr>
        <w:tc>
          <w:tcPr>
            <w:tcW w:w="3180" w:type="dxa"/>
            <w:gridSpan w:val="2"/>
            <w:vMerge/>
            <w:tcBorders>
              <w:bottom w:val="single" w:sz="4" w:space="0" w:color="auto"/>
              <w:right w:val="single" w:sz="4" w:space="0" w:color="auto"/>
            </w:tcBorders>
            <w:vAlign w:val="center"/>
          </w:tcPr>
          <w:p w:rsidR="005A647A" w:rsidRDefault="005A647A" w:rsidP="00E65ADA">
            <w:pPr>
              <w:spacing w:line="240" w:lineRule="auto"/>
              <w:rPr>
                <w:rFonts w:eastAsiaTheme="majorEastAsia" w:cs="Times New Roman"/>
                <w:spacing w:val="-10"/>
                <w:kern w:val="28"/>
                <w:szCs w:val="24"/>
              </w:rPr>
            </w:pPr>
          </w:p>
        </w:tc>
        <w:tc>
          <w:tcPr>
            <w:tcW w:w="2310" w:type="dxa"/>
            <w:tcBorders>
              <w:top w:val="single" w:sz="4" w:space="0" w:color="auto"/>
              <w:left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Total</w:t>
            </w:r>
          </w:p>
        </w:tc>
        <w:tc>
          <w:tcPr>
            <w:tcW w:w="216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300</w:t>
            </w:r>
          </w:p>
        </w:tc>
        <w:tc>
          <w:tcPr>
            <w:tcW w:w="1980" w:type="dxa"/>
            <w:tcBorders>
              <w:top w:val="single" w:sz="4" w:space="0" w:color="auto"/>
              <w:bottom w:val="single" w:sz="4" w:space="0" w:color="auto"/>
            </w:tcBorders>
            <w:vAlign w:val="center"/>
          </w:tcPr>
          <w:p w:rsidR="005A647A" w:rsidRDefault="005A647A" w:rsidP="00E65ADA">
            <w:pPr>
              <w:spacing w:line="240" w:lineRule="auto"/>
              <w:rPr>
                <w:rFonts w:eastAsiaTheme="majorEastAsia" w:cs="Times New Roman"/>
                <w:b/>
                <w:spacing w:val="-10"/>
                <w:kern w:val="28"/>
                <w:szCs w:val="24"/>
              </w:rPr>
            </w:pPr>
            <w:r>
              <w:rPr>
                <w:rFonts w:eastAsiaTheme="majorEastAsia" w:cs="Times New Roman"/>
                <w:b/>
                <w:spacing w:val="-10"/>
                <w:kern w:val="28"/>
                <w:szCs w:val="24"/>
              </w:rPr>
              <w:t>100.0</w:t>
            </w:r>
          </w:p>
        </w:tc>
      </w:tr>
    </w:tbl>
    <w:p w:rsidR="005A647A" w:rsidRDefault="005A647A" w:rsidP="005A647A">
      <w:pPr>
        <w:spacing w:line="240" w:lineRule="auto"/>
        <w:rPr>
          <w:rFonts w:eastAsiaTheme="majorEastAsia" w:cs="Times New Roman"/>
          <w:b/>
          <w:spacing w:val="-10"/>
          <w:kern w:val="28"/>
          <w:szCs w:val="24"/>
        </w:rPr>
      </w:pPr>
      <w:r>
        <w:rPr>
          <w:rFonts w:eastAsiaTheme="majorEastAsia" w:cs="Times New Roman"/>
          <w:b/>
          <w:spacing w:val="-10"/>
          <w:kern w:val="28"/>
          <w:szCs w:val="24"/>
        </w:rPr>
        <w:t>Source: Field Survey (2022)</w:t>
      </w:r>
    </w:p>
    <w:bookmarkEnd w:id="0"/>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 xml:space="preserve">Table 1 summarises the demographic characteristics of the 300 respondents based on gender, age, marital status, qualifications, organisational level, and religion. The gender distribution is relatively balanced, with 156 males (52.0%) and 144 females (48.0%). Age distribution shows that 15 respondents (5.0%) are between 18–30 years, 104 (34.7%) are aged 31–40 years, 167 (55.7%) fall within 41–50 years, and 14 (4.7%) are 51 years and above, indicating that most participants are in their mid- to late-career stages. Regarding marital status, 268 respondents (89.3%) are married, while 15 (5.0%) are single, reflecting a sample largely composed </w:t>
      </w:r>
      <w:r>
        <w:rPr>
          <w:rFonts w:eastAsiaTheme="majorEastAsia" w:cs="Times New Roman"/>
          <w:spacing w:val="-10"/>
          <w:kern w:val="28"/>
          <w:szCs w:val="24"/>
        </w:rPr>
        <w:lastRenderedPageBreak/>
        <w:t>of individuals with family responsibilities. Educationally, 189 respondents (63.0%) hold MSc/MBA degrees, 77 (25.7%) possess PhDs, 32 (10.3%) have BSc degrees, and only 2 (0.7%) hold OND/HND certificates, suggesting a highly qualified workforce. In terms of organisational hierarchy, 13 respondents (4.3%) occupy entry-level positions, 122 (40.7%) are junior staff, 160 (53.3%) are senior staff, and 5 (1.7%) serve as Heads of Department, showing strong representation at senior levels. Concerning religion, 206 respondents (68.7%) identify as Christians, 83 (27.7%) as Muslims, 3 (1.0%) as traditionalists, and 8 (2.7%) adhere to other faiths. The sample reflects balanced gender representation, high educational attainment, significant senior-level participation, and diverse religious backgrounds.</w:t>
      </w:r>
    </w:p>
    <w:p w:rsidR="005A647A" w:rsidRDefault="005A647A" w:rsidP="005A647A">
      <w:pPr>
        <w:pStyle w:val="ListParagraph"/>
        <w:numPr>
          <w:ilvl w:val="1"/>
          <w:numId w:val="3"/>
        </w:numPr>
        <w:spacing w:line="240" w:lineRule="auto"/>
        <w:rPr>
          <w:rFonts w:eastAsiaTheme="majorEastAsia" w:cs="Times New Roman"/>
          <w:b/>
          <w:bCs/>
          <w:spacing w:val="-10"/>
          <w:kern w:val="28"/>
          <w:szCs w:val="24"/>
        </w:rPr>
      </w:pPr>
      <w:r>
        <w:rPr>
          <w:rFonts w:eastAsiaTheme="majorEastAsia" w:cs="Times New Roman"/>
          <w:b/>
          <w:bCs/>
          <w:spacing w:val="-10"/>
          <w:kern w:val="28"/>
          <w:szCs w:val="24"/>
        </w:rPr>
        <w:t>Test of Hypothesis</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H0: There is no significant relationship between cultural diversity and organizational performance of private universities in Oyo State.</w:t>
      </w:r>
    </w:p>
    <w:p w:rsidR="005A647A" w:rsidRDefault="005A647A" w:rsidP="005A647A">
      <w:pPr>
        <w:spacing w:line="240" w:lineRule="auto"/>
        <w:rPr>
          <w:rFonts w:cs="Times New Roman"/>
          <w:bCs/>
          <w:szCs w:val="24"/>
        </w:rPr>
      </w:pPr>
      <w:r>
        <w:rPr>
          <w:rFonts w:cs="Times New Roman"/>
          <w:bCs/>
          <w:szCs w:val="24"/>
        </w:rPr>
        <w:t>Table 2: Result of the Correlation Analysis of cultural diversity and Organizational Performance</w:t>
      </w: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350"/>
        <w:gridCol w:w="1170"/>
        <w:gridCol w:w="1080"/>
        <w:gridCol w:w="1260"/>
        <w:gridCol w:w="990"/>
        <w:gridCol w:w="1440"/>
      </w:tblGrid>
      <w:tr w:rsidR="005A647A" w:rsidTr="00E65ADA">
        <w:tc>
          <w:tcPr>
            <w:tcW w:w="261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b/>
                <w:szCs w:val="24"/>
              </w:rPr>
            </w:pPr>
            <w:r>
              <w:rPr>
                <w:rFonts w:cs="Times New Roman"/>
                <w:b/>
                <w:szCs w:val="24"/>
              </w:rPr>
              <w:t xml:space="preserve">Variable </w:t>
            </w:r>
          </w:p>
        </w:tc>
        <w:tc>
          <w:tcPr>
            <w:tcW w:w="135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b/>
                <w:szCs w:val="24"/>
              </w:rPr>
            </w:pPr>
            <w:r>
              <w:rPr>
                <w:rFonts w:cs="Times New Roman"/>
                <w:b/>
                <w:szCs w:val="24"/>
              </w:rPr>
              <w:t>Mean</w:t>
            </w:r>
          </w:p>
        </w:tc>
        <w:tc>
          <w:tcPr>
            <w:tcW w:w="117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b/>
                <w:szCs w:val="24"/>
              </w:rPr>
            </w:pPr>
            <w:proofErr w:type="gramStart"/>
            <w:r>
              <w:rPr>
                <w:rFonts w:cs="Times New Roman"/>
                <w:b/>
                <w:szCs w:val="24"/>
              </w:rPr>
              <w:t>S.D</w:t>
            </w:r>
            <w:proofErr w:type="gramEnd"/>
          </w:p>
        </w:tc>
        <w:tc>
          <w:tcPr>
            <w:tcW w:w="108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b/>
                <w:szCs w:val="24"/>
              </w:rPr>
            </w:pPr>
            <w:r>
              <w:rPr>
                <w:rFonts w:cs="Times New Roman"/>
                <w:b/>
                <w:szCs w:val="24"/>
              </w:rPr>
              <w:t>N</w:t>
            </w:r>
          </w:p>
        </w:tc>
        <w:tc>
          <w:tcPr>
            <w:tcW w:w="126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b/>
                <w:szCs w:val="24"/>
              </w:rPr>
            </w:pPr>
            <w:r>
              <w:rPr>
                <w:rFonts w:cs="Times New Roman"/>
                <w:b/>
                <w:szCs w:val="24"/>
              </w:rPr>
              <w:t>R</w:t>
            </w:r>
          </w:p>
        </w:tc>
        <w:tc>
          <w:tcPr>
            <w:tcW w:w="99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b/>
                <w:szCs w:val="24"/>
              </w:rPr>
            </w:pPr>
            <w:r>
              <w:rPr>
                <w:rFonts w:cs="Times New Roman"/>
                <w:b/>
                <w:szCs w:val="24"/>
              </w:rPr>
              <w:t>P</w:t>
            </w:r>
          </w:p>
        </w:tc>
        <w:tc>
          <w:tcPr>
            <w:tcW w:w="144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b/>
                <w:szCs w:val="24"/>
              </w:rPr>
            </w:pPr>
            <w:r>
              <w:rPr>
                <w:rFonts w:cs="Times New Roman"/>
                <w:b/>
                <w:szCs w:val="24"/>
              </w:rPr>
              <w:t>Remark</w:t>
            </w:r>
          </w:p>
        </w:tc>
      </w:tr>
      <w:tr w:rsidR="005A647A" w:rsidTr="00E65ADA">
        <w:tc>
          <w:tcPr>
            <w:tcW w:w="261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Cultural Diversity</w:t>
            </w:r>
          </w:p>
        </w:tc>
        <w:tc>
          <w:tcPr>
            <w:tcW w:w="135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4.399333</w:t>
            </w:r>
          </w:p>
        </w:tc>
        <w:tc>
          <w:tcPr>
            <w:tcW w:w="117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.4607681</w:t>
            </w:r>
          </w:p>
        </w:tc>
        <w:tc>
          <w:tcPr>
            <w:tcW w:w="1080" w:type="dxa"/>
            <w:vMerge w:val="restart"/>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300</w:t>
            </w:r>
          </w:p>
        </w:tc>
        <w:tc>
          <w:tcPr>
            <w:tcW w:w="1260" w:type="dxa"/>
            <w:vMerge w:val="restart"/>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.656</w:t>
            </w:r>
            <w:r>
              <w:rPr>
                <w:rFonts w:cs="Times New Roman"/>
                <w:szCs w:val="24"/>
                <w:vertAlign w:val="superscript"/>
              </w:rPr>
              <w:t>**</w:t>
            </w:r>
          </w:p>
        </w:tc>
        <w:tc>
          <w:tcPr>
            <w:tcW w:w="990" w:type="dxa"/>
            <w:vMerge w:val="restart"/>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.000</w:t>
            </w:r>
          </w:p>
        </w:tc>
        <w:tc>
          <w:tcPr>
            <w:tcW w:w="1440" w:type="dxa"/>
            <w:vMerge w:val="restart"/>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Significant</w:t>
            </w:r>
          </w:p>
        </w:tc>
      </w:tr>
      <w:tr w:rsidR="005A647A" w:rsidTr="00E65ADA">
        <w:tc>
          <w:tcPr>
            <w:tcW w:w="261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 xml:space="preserve"> Organizational Performance</w:t>
            </w:r>
          </w:p>
        </w:tc>
        <w:tc>
          <w:tcPr>
            <w:tcW w:w="135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4.284667</w:t>
            </w:r>
          </w:p>
        </w:tc>
        <w:tc>
          <w:tcPr>
            <w:tcW w:w="1170" w:type="dxa"/>
            <w:tcBorders>
              <w:top w:val="single" w:sz="4" w:space="0" w:color="auto"/>
              <w:left w:val="single" w:sz="4" w:space="0" w:color="auto"/>
              <w:bottom w:val="single" w:sz="4" w:space="0" w:color="auto"/>
              <w:right w:val="single" w:sz="4" w:space="0" w:color="auto"/>
            </w:tcBorders>
          </w:tcPr>
          <w:p w:rsidR="005A647A" w:rsidRDefault="005A647A" w:rsidP="00E65ADA">
            <w:pPr>
              <w:spacing w:line="240" w:lineRule="auto"/>
              <w:rPr>
                <w:rFonts w:cs="Times New Roman"/>
                <w:szCs w:val="24"/>
              </w:rPr>
            </w:pPr>
            <w:r>
              <w:rPr>
                <w:rFonts w:cs="Times New Roman"/>
                <w:szCs w:val="24"/>
              </w:rPr>
              <w:t>.5230777</w:t>
            </w:r>
          </w:p>
        </w:tc>
        <w:tc>
          <w:tcPr>
            <w:tcW w:w="1080" w:type="dxa"/>
            <w:vMerge/>
            <w:tcBorders>
              <w:top w:val="single" w:sz="4" w:space="0" w:color="auto"/>
              <w:left w:val="single" w:sz="4" w:space="0" w:color="auto"/>
              <w:bottom w:val="single" w:sz="4" w:space="0" w:color="auto"/>
              <w:right w:val="single" w:sz="4" w:space="0" w:color="auto"/>
            </w:tcBorders>
            <w:vAlign w:val="center"/>
          </w:tcPr>
          <w:p w:rsidR="005A647A" w:rsidRDefault="005A647A" w:rsidP="00E65ADA">
            <w:pPr>
              <w:spacing w:line="240" w:lineRule="auto"/>
              <w:rPr>
                <w:rFonts w:cs="Times New Roman"/>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5A647A" w:rsidRDefault="005A647A" w:rsidP="00E65ADA">
            <w:pPr>
              <w:spacing w:line="240" w:lineRule="auto"/>
              <w:rPr>
                <w:rFonts w:cs="Times New Roman"/>
                <w:szCs w:val="24"/>
              </w:rPr>
            </w:pPr>
          </w:p>
        </w:tc>
        <w:tc>
          <w:tcPr>
            <w:tcW w:w="990" w:type="dxa"/>
            <w:vMerge/>
            <w:tcBorders>
              <w:top w:val="single" w:sz="4" w:space="0" w:color="auto"/>
              <w:left w:val="single" w:sz="4" w:space="0" w:color="auto"/>
              <w:bottom w:val="single" w:sz="4" w:space="0" w:color="auto"/>
              <w:right w:val="single" w:sz="4" w:space="0" w:color="auto"/>
            </w:tcBorders>
            <w:vAlign w:val="center"/>
          </w:tcPr>
          <w:p w:rsidR="005A647A" w:rsidRDefault="005A647A" w:rsidP="00E65ADA">
            <w:pPr>
              <w:spacing w:line="240" w:lineRule="auto"/>
              <w:rPr>
                <w:rFonts w:cs="Times New Roman"/>
                <w:szCs w:val="24"/>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5A647A" w:rsidRDefault="005A647A" w:rsidP="00E65ADA">
            <w:pPr>
              <w:spacing w:line="240" w:lineRule="auto"/>
              <w:rPr>
                <w:rFonts w:cs="Times New Roman"/>
                <w:szCs w:val="24"/>
              </w:rPr>
            </w:pPr>
          </w:p>
        </w:tc>
      </w:tr>
    </w:tbl>
    <w:p w:rsidR="005A647A" w:rsidRDefault="005A647A" w:rsidP="005A647A">
      <w:pPr>
        <w:spacing w:line="240" w:lineRule="auto"/>
        <w:rPr>
          <w:rFonts w:cs="Times New Roman"/>
          <w:b/>
          <w:szCs w:val="24"/>
        </w:rPr>
      </w:pPr>
      <w:r>
        <w:rPr>
          <w:rFonts w:cs="Times New Roman"/>
          <w:b/>
          <w:szCs w:val="24"/>
        </w:rPr>
        <w:t>Source: SPSS output</w:t>
      </w:r>
    </w:p>
    <w:p w:rsidR="005A647A" w:rsidRDefault="005A647A" w:rsidP="005A647A">
      <w:pPr>
        <w:spacing w:line="240" w:lineRule="auto"/>
        <w:rPr>
          <w:rFonts w:cs="Times New Roman"/>
          <w:szCs w:val="24"/>
        </w:rPr>
      </w:pPr>
      <w:r>
        <w:rPr>
          <w:rFonts w:cs="Times New Roman"/>
          <w:szCs w:val="24"/>
        </w:rPr>
        <w:t>Table 2 presents the relationship between cultural diversity and organizational performance. The analysis reveals a strong positive correlation between cultural diversity and organizational performance (r = 0.656**, N = 300, p = 0.000), indicating statistical significance at the 0.01 level. This suggests that a 1% increase in cultural diversity is associated with a 65.6% improvement in the organizational performance of private universities in Oyo State. The mean values further reinforce this relationship, with cultural diversity recording a mean of 4.3993 and organizational performance a mean of 4.2847. These means fall within the observed ranges of 2.8000 to 5.0000 for cultural diversity and 2.4000 to 5.0000 for organizational performance, showing that the variables are consistently distributed within their expected limits.</w:t>
      </w:r>
    </w:p>
    <w:p w:rsidR="005A647A" w:rsidRDefault="005A647A" w:rsidP="005A647A">
      <w:pPr>
        <w:spacing w:line="240" w:lineRule="auto"/>
        <w:rPr>
          <w:rFonts w:cs="Times New Roman"/>
          <w:szCs w:val="24"/>
        </w:rPr>
      </w:pPr>
      <w:r>
        <w:rPr>
          <w:rFonts w:cs="Times New Roman"/>
          <w:szCs w:val="24"/>
        </w:rPr>
        <w:t xml:space="preserve">The results further indicate low standard deviations, with 0.4608 for cultural diversity and 0.5231 for organizational performance, suggesting that the responses were tightly clustered around their respective mean values. The correlation analysis confirms statistical significance at both the 0.01 and 0.05 levels, as evidenced by the two-tailed test result (p = 0.000, p &lt; 0.01). Based on this outcome, the null hypothesis (H0), which states that there is no significant relationship between cultural diversity and organizational performance of private universities in Oyo State, is rejected. The findings provide clear evidence that cultural diversity plays an important role in improving organizational performance. The study therefore establishes a statistically significant and positive relationship between cultural diversity and organisational performance among private institutions in Oyo State. These findings align with the results reported by </w:t>
      </w:r>
      <w:proofErr w:type="spellStart"/>
      <w:r>
        <w:rPr>
          <w:rFonts w:cs="Times New Roman"/>
          <w:szCs w:val="24"/>
        </w:rPr>
        <w:t>Onwuzu</w:t>
      </w:r>
      <w:proofErr w:type="spellEnd"/>
      <w:r>
        <w:rPr>
          <w:rFonts w:cs="Times New Roman"/>
          <w:szCs w:val="24"/>
        </w:rPr>
        <w:t xml:space="preserve"> &amp; Nnamani (2023), Olu-Ogunleye et al., (2023), as well as </w:t>
      </w:r>
      <w:r>
        <w:rPr>
          <w:rFonts w:eastAsiaTheme="majorEastAsia" w:cs="Times New Roman"/>
          <w:spacing w:val="-10"/>
          <w:kern w:val="28"/>
          <w:szCs w:val="24"/>
        </w:rPr>
        <w:t xml:space="preserve">Alade &amp; </w:t>
      </w:r>
      <w:proofErr w:type="spellStart"/>
      <w:r>
        <w:rPr>
          <w:rFonts w:eastAsiaTheme="majorEastAsia" w:cs="Times New Roman"/>
          <w:spacing w:val="-10"/>
          <w:kern w:val="28"/>
          <w:szCs w:val="24"/>
        </w:rPr>
        <w:t>Adeyokun</w:t>
      </w:r>
      <w:proofErr w:type="spellEnd"/>
      <w:r>
        <w:rPr>
          <w:rFonts w:eastAsiaTheme="majorEastAsia" w:cs="Times New Roman"/>
          <w:spacing w:val="-10"/>
          <w:kern w:val="28"/>
          <w:szCs w:val="24"/>
        </w:rPr>
        <w:t xml:space="preserve"> (2024)</w:t>
      </w:r>
      <w:r>
        <w:rPr>
          <w:rFonts w:cs="Times New Roman"/>
          <w:szCs w:val="24"/>
        </w:rPr>
        <w:t>, reinforcing the view that diverse cultural compositions can contribute meaningfully to improved organisational outcomes.</w:t>
      </w:r>
    </w:p>
    <w:p w:rsidR="005A647A" w:rsidRDefault="005A647A" w:rsidP="005A647A">
      <w:pPr>
        <w:pStyle w:val="ListParagraph"/>
        <w:numPr>
          <w:ilvl w:val="0"/>
          <w:numId w:val="3"/>
        </w:numPr>
        <w:spacing w:line="240" w:lineRule="auto"/>
        <w:rPr>
          <w:rFonts w:eastAsiaTheme="majorEastAsia" w:cs="Times New Roman"/>
          <w:spacing w:val="-10"/>
          <w:kern w:val="28"/>
          <w:szCs w:val="24"/>
        </w:rPr>
      </w:pPr>
      <w:r>
        <w:rPr>
          <w:rFonts w:eastAsiaTheme="majorEastAsia" w:cs="Times New Roman"/>
          <w:b/>
          <w:bCs/>
          <w:spacing w:val="-10"/>
          <w:kern w:val="28"/>
          <w:szCs w:val="24"/>
        </w:rPr>
        <w:t>Conclusion and Recommendations</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lastRenderedPageBreak/>
        <w:t>Cultural diversity is an important part of how organisations function, influencing communication, teamwork, and the generation of ideas that shape results. The presence of different cultural perspectives encourages wider thinking, supports innovation, and helps teams handle complex challenges more effectively. When organisations recognise and use these differences in their daily activities, they gain from better problem-solving and stronger coordination. Findings from the study show a statistically significant and positive link between cultural diversity and organisational performance, showing its contribution to productivity, creativity, and efficiency. Through the perspectives of Cognitive Diversity Theory and Social Identity Theory, diversity can be understood as involving cognitive and social processes that strengthen teamwork and organisational effectiveness. The results indicate that when managed properly, culturally diverse workforces create a richer organisational environment and help sustain long-term performance improvements.</w:t>
      </w:r>
    </w:p>
    <w:p w:rsidR="005A647A" w:rsidRDefault="005A647A" w:rsidP="005A647A">
      <w:pPr>
        <w:spacing w:line="240" w:lineRule="auto"/>
        <w:rPr>
          <w:rFonts w:eastAsiaTheme="majorEastAsia" w:cs="Times New Roman"/>
          <w:spacing w:val="-10"/>
          <w:kern w:val="28"/>
          <w:szCs w:val="24"/>
        </w:rPr>
      </w:pPr>
      <w:r>
        <w:rPr>
          <w:rFonts w:eastAsiaTheme="majorEastAsia" w:cs="Times New Roman"/>
          <w:spacing w:val="-10"/>
          <w:kern w:val="28"/>
          <w:szCs w:val="24"/>
        </w:rPr>
        <w:t>Based on the evidence that cultural diversity supports better organisational outcomes, institutions should adopt inclusive management practices that encourage collaboration and fair participation among employees. Leaders should develop cultural awareness and create spaces where different perspectives are appreciated in decision-making. Regular training and awareness programmes can improve cross-cultural understanding and reduce communication challenges. Recruitment and promotion systems should also reflect diversity values, ensuring that inclusion becomes a lasting part of organisational culture and a driver of continuous performance improvement.</w:t>
      </w:r>
    </w:p>
    <w:p w:rsidR="005A647A" w:rsidRDefault="005A647A" w:rsidP="005A647A">
      <w:pPr>
        <w:spacing w:line="240" w:lineRule="auto"/>
        <w:rPr>
          <w:rFonts w:eastAsiaTheme="majorEastAsia" w:cs="Times New Roman"/>
          <w:b/>
          <w:bCs/>
          <w:spacing w:val="-10"/>
          <w:kern w:val="28"/>
          <w:szCs w:val="24"/>
        </w:rPr>
      </w:pPr>
      <w:r>
        <w:rPr>
          <w:rFonts w:eastAsiaTheme="majorEastAsia" w:cs="Times New Roman"/>
          <w:b/>
          <w:bCs/>
          <w:spacing w:val="-10"/>
          <w:kern w:val="28"/>
          <w:szCs w:val="24"/>
        </w:rPr>
        <w:t>References</w:t>
      </w:r>
    </w:p>
    <w:p w:rsidR="005A647A" w:rsidRDefault="005A647A" w:rsidP="005A647A">
      <w:pPr>
        <w:spacing w:line="240" w:lineRule="auto"/>
        <w:ind w:left="720" w:hanging="720"/>
        <w:rPr>
          <w:rFonts w:cs="Times New Roman"/>
          <w:szCs w:val="24"/>
        </w:rPr>
      </w:pPr>
      <w:r>
        <w:rPr>
          <w:rFonts w:cs="Times New Roman"/>
          <w:szCs w:val="24"/>
        </w:rPr>
        <w:t xml:space="preserve">Abdullahi, M. S., Raman, K., &amp; </w:t>
      </w:r>
      <w:proofErr w:type="spellStart"/>
      <w:r>
        <w:rPr>
          <w:rFonts w:cs="Times New Roman"/>
          <w:szCs w:val="24"/>
        </w:rPr>
        <w:t>Solarin</w:t>
      </w:r>
      <w:proofErr w:type="spellEnd"/>
      <w:r>
        <w:rPr>
          <w:rFonts w:cs="Times New Roman"/>
          <w:szCs w:val="24"/>
        </w:rPr>
        <w:t>, S. A. (2021). Effect of organizational culture on employee performance: A mediating role of employee engagement in Malaysia educational sector. </w:t>
      </w:r>
      <w:r>
        <w:rPr>
          <w:rFonts w:cs="Times New Roman"/>
          <w:i/>
          <w:iCs/>
          <w:szCs w:val="24"/>
        </w:rPr>
        <w:t>International Journal of Supply and Operations Management</w:t>
      </w:r>
      <w:r>
        <w:rPr>
          <w:rFonts w:cs="Times New Roman"/>
          <w:szCs w:val="24"/>
        </w:rPr>
        <w:t>, </w:t>
      </w:r>
      <w:r>
        <w:rPr>
          <w:rFonts w:cs="Times New Roman"/>
          <w:i/>
          <w:iCs/>
          <w:szCs w:val="24"/>
        </w:rPr>
        <w:t>8</w:t>
      </w:r>
      <w:r>
        <w:rPr>
          <w:rFonts w:cs="Times New Roman"/>
          <w:szCs w:val="24"/>
        </w:rPr>
        <w:t>(3), 232-246.</w:t>
      </w:r>
    </w:p>
    <w:p w:rsidR="005A647A" w:rsidRDefault="005A647A" w:rsidP="005A647A">
      <w:pPr>
        <w:spacing w:line="240" w:lineRule="auto"/>
        <w:ind w:left="720" w:hanging="720"/>
        <w:rPr>
          <w:rFonts w:cs="Times New Roman"/>
          <w:szCs w:val="24"/>
        </w:rPr>
      </w:pPr>
      <w:bookmarkStart w:id="1" w:name="_Hlk210900754"/>
      <w:r>
        <w:rPr>
          <w:rFonts w:cs="Times New Roman"/>
          <w:szCs w:val="24"/>
        </w:rPr>
        <w:t>Akgün, A. E., &amp; Keskin</w:t>
      </w:r>
      <w:bookmarkEnd w:id="1"/>
      <w:r>
        <w:rPr>
          <w:rFonts w:cs="Times New Roman"/>
          <w:szCs w:val="24"/>
        </w:rPr>
        <w:t>, H. (2014). Organizational resilience capacity and firm product innovativeness and performance. </w:t>
      </w:r>
      <w:r>
        <w:rPr>
          <w:rFonts w:cs="Times New Roman"/>
          <w:i/>
          <w:iCs/>
          <w:szCs w:val="24"/>
        </w:rPr>
        <w:t>International journal of production research</w:t>
      </w:r>
      <w:r>
        <w:rPr>
          <w:rFonts w:cs="Times New Roman"/>
          <w:szCs w:val="24"/>
        </w:rPr>
        <w:t>, </w:t>
      </w:r>
      <w:r>
        <w:rPr>
          <w:rFonts w:cs="Times New Roman"/>
          <w:i/>
          <w:iCs/>
          <w:szCs w:val="24"/>
        </w:rPr>
        <w:t>52</w:t>
      </w:r>
      <w:r>
        <w:rPr>
          <w:rFonts w:cs="Times New Roman"/>
          <w:szCs w:val="24"/>
        </w:rPr>
        <w:t>(23), 6918-6937.</w:t>
      </w:r>
    </w:p>
    <w:p w:rsidR="005A647A" w:rsidRDefault="005A647A" w:rsidP="005A647A">
      <w:pPr>
        <w:spacing w:line="240" w:lineRule="auto"/>
        <w:ind w:left="720" w:hanging="720"/>
        <w:rPr>
          <w:rFonts w:cs="Times New Roman"/>
          <w:szCs w:val="24"/>
        </w:rPr>
      </w:pPr>
      <w:r>
        <w:rPr>
          <w:rFonts w:cs="Times New Roman"/>
          <w:szCs w:val="24"/>
        </w:rPr>
        <w:t xml:space="preserve">Alade, F. G., &amp; </w:t>
      </w:r>
      <w:proofErr w:type="spellStart"/>
      <w:r>
        <w:rPr>
          <w:rFonts w:cs="Times New Roman"/>
          <w:szCs w:val="24"/>
        </w:rPr>
        <w:t>Adeyokun</w:t>
      </w:r>
      <w:proofErr w:type="spellEnd"/>
      <w:r>
        <w:rPr>
          <w:rFonts w:cs="Times New Roman"/>
          <w:szCs w:val="24"/>
        </w:rPr>
        <w:t>, M. (2024). Exploratory Moderation of Human Resource Practices and Cultural Diversity on Organizational Effectiveness: A Study of Federal Polytechnic Ede. </w:t>
      </w:r>
      <w:r>
        <w:rPr>
          <w:rFonts w:cs="Times New Roman"/>
          <w:i/>
          <w:iCs/>
          <w:szCs w:val="24"/>
        </w:rPr>
        <w:t>LAFIA JOURNAL OF ECONOMICS AND MANAGEMENT SCIENCES</w:t>
      </w:r>
      <w:r>
        <w:rPr>
          <w:rFonts w:cs="Times New Roman"/>
          <w:szCs w:val="24"/>
        </w:rPr>
        <w:t>, (1), 125-136.</w:t>
      </w:r>
    </w:p>
    <w:p w:rsidR="005A647A" w:rsidRDefault="005A647A" w:rsidP="005A647A">
      <w:pPr>
        <w:spacing w:line="240" w:lineRule="auto"/>
        <w:ind w:left="720" w:hanging="720"/>
        <w:rPr>
          <w:rFonts w:cs="Times New Roman"/>
          <w:szCs w:val="24"/>
        </w:rPr>
      </w:pPr>
      <w:r>
        <w:rPr>
          <w:rFonts w:cs="Times New Roman"/>
          <w:szCs w:val="24"/>
        </w:rPr>
        <w:t>Azmy, A. (2019). Employee engagement factors in a higher education institution. </w:t>
      </w:r>
      <w:r>
        <w:rPr>
          <w:rFonts w:cs="Times New Roman"/>
          <w:i/>
          <w:iCs/>
          <w:szCs w:val="24"/>
        </w:rPr>
        <w:t>Binus Business Review</w:t>
      </w:r>
      <w:r>
        <w:rPr>
          <w:rFonts w:cs="Times New Roman"/>
          <w:szCs w:val="24"/>
        </w:rPr>
        <w:t>, </w:t>
      </w:r>
      <w:r>
        <w:rPr>
          <w:rFonts w:cs="Times New Roman"/>
          <w:i/>
          <w:iCs/>
          <w:szCs w:val="24"/>
        </w:rPr>
        <w:t>10</w:t>
      </w:r>
      <w:r>
        <w:rPr>
          <w:rFonts w:cs="Times New Roman"/>
          <w:szCs w:val="24"/>
        </w:rPr>
        <w:t>(3), 187-200.</w:t>
      </w:r>
    </w:p>
    <w:p w:rsidR="005A647A" w:rsidRDefault="005A647A" w:rsidP="005A647A">
      <w:pPr>
        <w:spacing w:line="240" w:lineRule="auto"/>
        <w:ind w:left="720" w:hanging="720"/>
        <w:rPr>
          <w:rFonts w:cs="Times New Roman"/>
          <w:szCs w:val="24"/>
        </w:rPr>
      </w:pPr>
      <w:r>
        <w:rPr>
          <w:rFonts w:cs="Times New Roman"/>
          <w:szCs w:val="24"/>
        </w:rPr>
        <w:t>Bender, A., &amp; Beller, S. (2016). Current perspectives on cognitive diversity. </w:t>
      </w:r>
      <w:r>
        <w:rPr>
          <w:rFonts w:cs="Times New Roman"/>
          <w:i/>
          <w:iCs/>
          <w:szCs w:val="24"/>
        </w:rPr>
        <w:t>Frontiers in Psychology</w:t>
      </w:r>
      <w:r>
        <w:rPr>
          <w:rFonts w:cs="Times New Roman"/>
          <w:szCs w:val="24"/>
        </w:rPr>
        <w:t>, </w:t>
      </w:r>
      <w:r>
        <w:rPr>
          <w:rFonts w:cs="Times New Roman"/>
          <w:i/>
          <w:iCs/>
          <w:szCs w:val="24"/>
        </w:rPr>
        <w:t>7</w:t>
      </w:r>
      <w:r>
        <w:rPr>
          <w:rFonts w:cs="Times New Roman"/>
          <w:szCs w:val="24"/>
        </w:rPr>
        <w:t>, 509.</w:t>
      </w:r>
    </w:p>
    <w:p w:rsidR="005A647A" w:rsidRDefault="005A647A" w:rsidP="005A647A">
      <w:pPr>
        <w:spacing w:line="240" w:lineRule="auto"/>
        <w:ind w:left="720" w:hanging="720"/>
        <w:rPr>
          <w:rFonts w:cs="Times New Roman"/>
          <w:szCs w:val="24"/>
        </w:rPr>
      </w:pPr>
      <w:bookmarkStart w:id="2" w:name="_Hlk210900573"/>
      <w:r>
        <w:rPr>
          <w:rFonts w:cs="Times New Roman"/>
          <w:szCs w:val="24"/>
        </w:rPr>
        <w:t>Cheema, J. R., &amp; Asrar-ul-Haq, M. (2017</w:t>
      </w:r>
      <w:bookmarkEnd w:id="2"/>
      <w:r>
        <w:rPr>
          <w:rFonts w:cs="Times New Roman"/>
          <w:szCs w:val="24"/>
        </w:rPr>
        <w:t>). Effects of staff participation, morale, and shortage on organizational performance: An international survey. </w:t>
      </w:r>
      <w:r>
        <w:rPr>
          <w:rFonts w:cs="Times New Roman"/>
          <w:i/>
          <w:iCs/>
          <w:szCs w:val="24"/>
        </w:rPr>
        <w:t>Issues in Educational Research</w:t>
      </w:r>
      <w:r>
        <w:rPr>
          <w:rFonts w:cs="Times New Roman"/>
          <w:szCs w:val="24"/>
        </w:rPr>
        <w:t>, </w:t>
      </w:r>
      <w:r>
        <w:rPr>
          <w:rFonts w:cs="Times New Roman"/>
          <w:i/>
          <w:iCs/>
          <w:szCs w:val="24"/>
        </w:rPr>
        <w:t>27</w:t>
      </w:r>
      <w:r>
        <w:rPr>
          <w:rFonts w:cs="Times New Roman"/>
          <w:szCs w:val="24"/>
        </w:rPr>
        <w:t>(4), 677-696.</w:t>
      </w:r>
    </w:p>
    <w:p w:rsidR="005A647A" w:rsidRDefault="005A647A" w:rsidP="005A647A">
      <w:pPr>
        <w:spacing w:line="240" w:lineRule="auto"/>
        <w:ind w:left="720" w:hanging="720"/>
        <w:rPr>
          <w:rFonts w:cs="Times New Roman"/>
          <w:szCs w:val="24"/>
        </w:rPr>
      </w:pPr>
      <w:r>
        <w:rPr>
          <w:rFonts w:cs="Times New Roman"/>
          <w:szCs w:val="24"/>
        </w:rPr>
        <w:t>Cho, S., Kim, A., &amp; Mor Barak, M. E. (2017). Does diversity matter? Exploring workforce diversity, diversity management, and organizational performance in social enterprises. </w:t>
      </w:r>
      <w:r>
        <w:rPr>
          <w:rFonts w:cs="Times New Roman"/>
          <w:i/>
          <w:iCs/>
          <w:szCs w:val="24"/>
        </w:rPr>
        <w:t>Asian Social Work and Policy Review</w:t>
      </w:r>
      <w:r>
        <w:rPr>
          <w:rFonts w:cs="Times New Roman"/>
          <w:szCs w:val="24"/>
        </w:rPr>
        <w:t>, </w:t>
      </w:r>
      <w:r>
        <w:rPr>
          <w:rFonts w:cs="Times New Roman"/>
          <w:i/>
          <w:iCs/>
          <w:szCs w:val="24"/>
        </w:rPr>
        <w:t>11</w:t>
      </w:r>
      <w:r>
        <w:rPr>
          <w:rFonts w:cs="Times New Roman"/>
          <w:szCs w:val="24"/>
        </w:rPr>
        <w:t>(3), 193-204.</w:t>
      </w:r>
    </w:p>
    <w:p w:rsidR="005A647A" w:rsidRDefault="005A647A" w:rsidP="005A647A">
      <w:pPr>
        <w:spacing w:line="240" w:lineRule="auto"/>
        <w:ind w:left="720" w:hanging="720"/>
        <w:rPr>
          <w:rFonts w:cs="Times New Roman"/>
          <w:szCs w:val="24"/>
        </w:rPr>
      </w:pPr>
      <w:proofErr w:type="spellStart"/>
      <w:r>
        <w:rPr>
          <w:rFonts w:cs="Times New Roman"/>
          <w:szCs w:val="24"/>
        </w:rPr>
        <w:t>Damelang</w:t>
      </w:r>
      <w:proofErr w:type="spellEnd"/>
      <w:r>
        <w:rPr>
          <w:rFonts w:cs="Times New Roman"/>
          <w:szCs w:val="24"/>
        </w:rPr>
        <w:t xml:space="preserve">, A., &amp; Haas, A. (2012). The benefits of migration: cultural diversity and </w:t>
      </w:r>
      <w:proofErr w:type="spellStart"/>
      <w:r>
        <w:rPr>
          <w:rFonts w:cs="Times New Roman"/>
          <w:szCs w:val="24"/>
        </w:rPr>
        <w:t>labor</w:t>
      </w:r>
      <w:proofErr w:type="spellEnd"/>
      <w:r>
        <w:rPr>
          <w:rFonts w:cs="Times New Roman"/>
          <w:szCs w:val="24"/>
        </w:rPr>
        <w:t xml:space="preserve"> market success. </w:t>
      </w:r>
      <w:r>
        <w:rPr>
          <w:rFonts w:cs="Times New Roman"/>
          <w:i/>
          <w:iCs/>
          <w:szCs w:val="24"/>
        </w:rPr>
        <w:t>European Societies</w:t>
      </w:r>
      <w:r>
        <w:rPr>
          <w:rFonts w:cs="Times New Roman"/>
          <w:szCs w:val="24"/>
        </w:rPr>
        <w:t>, </w:t>
      </w:r>
      <w:r>
        <w:rPr>
          <w:rFonts w:cs="Times New Roman"/>
          <w:i/>
          <w:iCs/>
          <w:szCs w:val="24"/>
        </w:rPr>
        <w:t>14</w:t>
      </w:r>
      <w:r>
        <w:rPr>
          <w:rFonts w:cs="Times New Roman"/>
          <w:szCs w:val="24"/>
        </w:rPr>
        <w:t>(3), 362-392.</w:t>
      </w:r>
    </w:p>
    <w:p w:rsidR="005A647A" w:rsidRDefault="005A647A" w:rsidP="005A647A">
      <w:pPr>
        <w:spacing w:line="240" w:lineRule="auto"/>
        <w:ind w:left="720" w:hanging="720"/>
        <w:rPr>
          <w:rFonts w:cs="Times New Roman"/>
          <w:szCs w:val="24"/>
        </w:rPr>
      </w:pPr>
      <w:r>
        <w:rPr>
          <w:rFonts w:cs="Times New Roman"/>
          <w:szCs w:val="24"/>
        </w:rPr>
        <w:lastRenderedPageBreak/>
        <w:t>Daniels, J. R. (2016). An exploratory comparative case study of employee engagement in Christian higher education. </w:t>
      </w:r>
      <w:r>
        <w:rPr>
          <w:rFonts w:cs="Times New Roman"/>
          <w:i/>
          <w:iCs/>
          <w:szCs w:val="24"/>
        </w:rPr>
        <w:t>Christian Higher Education</w:t>
      </w:r>
      <w:r>
        <w:rPr>
          <w:rFonts w:cs="Times New Roman"/>
          <w:szCs w:val="24"/>
        </w:rPr>
        <w:t>, </w:t>
      </w:r>
      <w:r>
        <w:rPr>
          <w:rFonts w:cs="Times New Roman"/>
          <w:i/>
          <w:iCs/>
          <w:szCs w:val="24"/>
        </w:rPr>
        <w:t>15</w:t>
      </w:r>
      <w:r>
        <w:rPr>
          <w:rFonts w:cs="Times New Roman"/>
          <w:szCs w:val="24"/>
        </w:rPr>
        <w:t>(3), 126-139.</w:t>
      </w:r>
    </w:p>
    <w:p w:rsidR="005A647A" w:rsidRDefault="005A647A" w:rsidP="005A647A">
      <w:pPr>
        <w:spacing w:line="240" w:lineRule="auto"/>
        <w:ind w:left="720" w:hanging="720"/>
        <w:rPr>
          <w:rFonts w:cs="Times New Roman"/>
          <w:szCs w:val="24"/>
        </w:rPr>
      </w:pPr>
      <w:r>
        <w:rPr>
          <w:rFonts w:cs="Times New Roman"/>
          <w:szCs w:val="24"/>
        </w:rPr>
        <w:t>Fang, S., &amp; Qin, Y. (2025). Social Identification in Open Innovation Projects: Role of Knowledge Collaboration and Resource Interdependence. </w:t>
      </w:r>
      <w:r>
        <w:rPr>
          <w:rFonts w:cs="Times New Roman"/>
          <w:i/>
          <w:iCs/>
          <w:szCs w:val="24"/>
        </w:rPr>
        <w:t>Systems</w:t>
      </w:r>
      <w:r>
        <w:rPr>
          <w:rFonts w:cs="Times New Roman"/>
          <w:szCs w:val="24"/>
        </w:rPr>
        <w:t>, </w:t>
      </w:r>
      <w:r>
        <w:rPr>
          <w:rFonts w:cs="Times New Roman"/>
          <w:i/>
          <w:iCs/>
          <w:szCs w:val="24"/>
        </w:rPr>
        <w:t>13</w:t>
      </w:r>
      <w:r>
        <w:rPr>
          <w:rFonts w:cs="Times New Roman"/>
          <w:szCs w:val="24"/>
        </w:rPr>
        <w:t>(2), 129.</w:t>
      </w:r>
    </w:p>
    <w:p w:rsidR="005A647A" w:rsidRDefault="005A647A" w:rsidP="005A647A">
      <w:pPr>
        <w:spacing w:line="240" w:lineRule="auto"/>
        <w:ind w:left="720" w:hanging="720"/>
        <w:rPr>
          <w:rFonts w:cs="Times New Roman"/>
          <w:szCs w:val="24"/>
        </w:rPr>
      </w:pPr>
      <w:r>
        <w:rPr>
          <w:rFonts w:cs="Times New Roman"/>
          <w:szCs w:val="24"/>
        </w:rPr>
        <w:t xml:space="preserve">Fatma, E. (2020). </w:t>
      </w:r>
      <w:r>
        <w:rPr>
          <w:rFonts w:cs="Times New Roman"/>
          <w:i/>
          <w:iCs/>
          <w:szCs w:val="24"/>
        </w:rPr>
        <w:t>Impact of cultural diversity on employee engagement in academia.</w:t>
      </w:r>
      <w:r>
        <w:rPr>
          <w:rFonts w:cs="Times New Roman"/>
          <w:szCs w:val="24"/>
        </w:rPr>
        <w:t xml:space="preserve"> </w:t>
      </w:r>
      <w:r>
        <w:rPr>
          <w:rFonts w:cs="Times New Roman"/>
          <w:i/>
          <w:iCs/>
          <w:szCs w:val="24"/>
        </w:rPr>
        <w:t>International Journal for Multidisciplinary Research (IJFMR), 6</w:t>
      </w:r>
      <w:r>
        <w:rPr>
          <w:rFonts w:cs="Times New Roman"/>
          <w:szCs w:val="24"/>
        </w:rPr>
        <w:t>(2), March–April. E-ISSN: 2582-2160.</w:t>
      </w:r>
    </w:p>
    <w:p w:rsidR="005A647A" w:rsidRDefault="005A647A" w:rsidP="005A647A">
      <w:pPr>
        <w:spacing w:line="240" w:lineRule="auto"/>
        <w:ind w:left="720" w:hanging="720"/>
        <w:rPr>
          <w:rFonts w:cs="Times New Roman"/>
          <w:szCs w:val="24"/>
        </w:rPr>
      </w:pPr>
      <w:r>
        <w:rPr>
          <w:rFonts w:cs="Times New Roman"/>
          <w:szCs w:val="24"/>
        </w:rPr>
        <w:t xml:space="preserve">Gut, A., Wilczewski, M., &amp; </w:t>
      </w:r>
      <w:proofErr w:type="spellStart"/>
      <w:r>
        <w:rPr>
          <w:rFonts w:cs="Times New Roman"/>
          <w:szCs w:val="24"/>
        </w:rPr>
        <w:t>Gorbaniuk</w:t>
      </w:r>
      <w:proofErr w:type="spellEnd"/>
      <w:r>
        <w:rPr>
          <w:rFonts w:cs="Times New Roman"/>
          <w:szCs w:val="24"/>
        </w:rPr>
        <w:t>, O. (2017). Cultural differences, stereotypes and communication needs in intercultural communication in a global multicultural environment the employees’ perspective. </w:t>
      </w:r>
      <w:r>
        <w:rPr>
          <w:rFonts w:cs="Times New Roman"/>
          <w:i/>
          <w:iCs/>
          <w:szCs w:val="24"/>
        </w:rPr>
        <w:t>Journal of Intercultural Communication</w:t>
      </w:r>
      <w:r>
        <w:rPr>
          <w:rFonts w:cs="Times New Roman"/>
          <w:szCs w:val="24"/>
        </w:rPr>
        <w:t>, </w:t>
      </w:r>
      <w:r>
        <w:rPr>
          <w:rFonts w:cs="Times New Roman"/>
          <w:i/>
          <w:iCs/>
          <w:szCs w:val="24"/>
        </w:rPr>
        <w:t>17</w:t>
      </w:r>
      <w:r>
        <w:rPr>
          <w:rFonts w:cs="Times New Roman"/>
          <w:szCs w:val="24"/>
        </w:rPr>
        <w:t>(1), 1-18.</w:t>
      </w:r>
    </w:p>
    <w:p w:rsidR="005A647A" w:rsidRDefault="005A647A" w:rsidP="005A647A">
      <w:pPr>
        <w:spacing w:line="240" w:lineRule="auto"/>
        <w:ind w:left="720" w:hanging="720"/>
        <w:rPr>
          <w:rFonts w:cs="Times New Roman"/>
          <w:szCs w:val="24"/>
        </w:rPr>
      </w:pPr>
      <w:r>
        <w:rPr>
          <w:rFonts w:cs="Times New Roman"/>
          <w:szCs w:val="24"/>
        </w:rPr>
        <w:t>Han, J., Han, J., &amp; Brass, D. J. (2014). Human capital diversity in the creation of social capital for team creativity. </w:t>
      </w:r>
      <w:r>
        <w:rPr>
          <w:rFonts w:cs="Times New Roman"/>
          <w:i/>
          <w:iCs/>
          <w:szCs w:val="24"/>
        </w:rPr>
        <w:t xml:space="preserve">Journal of organizational </w:t>
      </w:r>
      <w:proofErr w:type="spellStart"/>
      <w:r>
        <w:rPr>
          <w:rFonts w:cs="Times New Roman"/>
          <w:i/>
          <w:iCs/>
          <w:szCs w:val="24"/>
        </w:rPr>
        <w:t>behavior</w:t>
      </w:r>
      <w:proofErr w:type="spellEnd"/>
      <w:r>
        <w:rPr>
          <w:rFonts w:cs="Times New Roman"/>
          <w:szCs w:val="24"/>
        </w:rPr>
        <w:t>, </w:t>
      </w:r>
      <w:r>
        <w:rPr>
          <w:rFonts w:cs="Times New Roman"/>
          <w:i/>
          <w:iCs/>
          <w:szCs w:val="24"/>
        </w:rPr>
        <w:t>35</w:t>
      </w:r>
      <w:r>
        <w:rPr>
          <w:rFonts w:cs="Times New Roman"/>
          <w:szCs w:val="24"/>
        </w:rPr>
        <w:t>(1), 54-71.</w:t>
      </w:r>
    </w:p>
    <w:p w:rsidR="005A647A" w:rsidRDefault="005A647A" w:rsidP="005A647A">
      <w:pPr>
        <w:spacing w:line="240" w:lineRule="auto"/>
        <w:ind w:left="720" w:hanging="720"/>
        <w:rPr>
          <w:rFonts w:cs="Times New Roman"/>
          <w:szCs w:val="24"/>
        </w:rPr>
      </w:pPr>
      <w:r>
        <w:rPr>
          <w:rFonts w:cs="Times New Roman"/>
          <w:szCs w:val="24"/>
        </w:rPr>
        <w:t>Hogg, M. A. (2016). Social identity theory. In </w:t>
      </w:r>
      <w:r>
        <w:rPr>
          <w:rFonts w:cs="Times New Roman"/>
          <w:i/>
          <w:iCs/>
          <w:szCs w:val="24"/>
        </w:rPr>
        <w:t>Understanding peace and conflict through social identity theory: Contemporary global perspectives</w:t>
      </w:r>
      <w:r>
        <w:rPr>
          <w:rFonts w:cs="Times New Roman"/>
          <w:szCs w:val="24"/>
        </w:rPr>
        <w:t> (pp. 3-17). Cham: Springer International Publishing.</w:t>
      </w:r>
    </w:p>
    <w:p w:rsidR="005A647A" w:rsidRDefault="005A647A" w:rsidP="005A647A">
      <w:pPr>
        <w:spacing w:line="240" w:lineRule="auto"/>
        <w:ind w:left="720" w:hanging="720"/>
        <w:rPr>
          <w:rFonts w:cs="Times New Roman"/>
          <w:szCs w:val="24"/>
        </w:rPr>
      </w:pPr>
      <w:r>
        <w:rPr>
          <w:rFonts w:cs="Times New Roman"/>
          <w:szCs w:val="24"/>
        </w:rPr>
        <w:t>Hooker, J. (2012). Cultural differences in business communication. </w:t>
      </w:r>
      <w:r>
        <w:rPr>
          <w:rFonts w:cs="Times New Roman"/>
          <w:i/>
          <w:iCs/>
          <w:szCs w:val="24"/>
        </w:rPr>
        <w:t>The handbook of intercultural discourse and communication</w:t>
      </w:r>
      <w:r>
        <w:rPr>
          <w:rFonts w:cs="Times New Roman"/>
          <w:szCs w:val="24"/>
        </w:rPr>
        <w:t>, 389-407.</w:t>
      </w:r>
    </w:p>
    <w:p w:rsidR="005A647A" w:rsidRDefault="005A647A" w:rsidP="005A647A">
      <w:pPr>
        <w:spacing w:line="240" w:lineRule="auto"/>
        <w:ind w:left="720" w:hanging="720"/>
        <w:rPr>
          <w:rFonts w:cs="Times New Roman"/>
          <w:szCs w:val="24"/>
        </w:rPr>
      </w:pPr>
      <w:r>
        <w:rPr>
          <w:rFonts w:cs="Times New Roman"/>
          <w:szCs w:val="24"/>
        </w:rPr>
        <w:t xml:space="preserve">Ismail, F., Abdullahi, M. S., Arnaut, M., Bano, Y., Hadi, N. M. H., &amp; </w:t>
      </w:r>
      <w:proofErr w:type="spellStart"/>
      <w:r>
        <w:rPr>
          <w:rFonts w:cs="Times New Roman"/>
          <w:szCs w:val="24"/>
        </w:rPr>
        <w:t>Gwadabe</w:t>
      </w:r>
      <w:proofErr w:type="spellEnd"/>
      <w:r>
        <w:rPr>
          <w:rFonts w:cs="Times New Roman"/>
          <w:szCs w:val="24"/>
        </w:rPr>
        <w:t>, Z. L. (2024). The Effect of Organizational Culture on Employee Engagement in Higher Education Institutions: The Mediating Role of Job Characteristics. </w:t>
      </w:r>
      <w:proofErr w:type="spellStart"/>
      <w:r>
        <w:rPr>
          <w:rFonts w:cs="Times New Roman"/>
          <w:i/>
          <w:iCs/>
          <w:szCs w:val="24"/>
        </w:rPr>
        <w:t>Zhongguo</w:t>
      </w:r>
      <w:proofErr w:type="spellEnd"/>
      <w:r>
        <w:rPr>
          <w:rFonts w:cs="Times New Roman"/>
          <w:i/>
          <w:iCs/>
          <w:szCs w:val="24"/>
        </w:rPr>
        <w:t xml:space="preserve"> </w:t>
      </w:r>
      <w:proofErr w:type="spellStart"/>
      <w:r>
        <w:rPr>
          <w:rFonts w:cs="Times New Roman"/>
          <w:i/>
          <w:iCs/>
          <w:szCs w:val="24"/>
        </w:rPr>
        <w:t>Kuangye</w:t>
      </w:r>
      <w:proofErr w:type="spellEnd"/>
      <w:r>
        <w:rPr>
          <w:rFonts w:cs="Times New Roman"/>
          <w:i/>
          <w:iCs/>
          <w:szCs w:val="24"/>
        </w:rPr>
        <w:t xml:space="preserve"> </w:t>
      </w:r>
      <w:proofErr w:type="spellStart"/>
      <w:r>
        <w:rPr>
          <w:rFonts w:cs="Times New Roman"/>
          <w:i/>
          <w:iCs/>
          <w:szCs w:val="24"/>
        </w:rPr>
        <w:t>Daxue</w:t>
      </w:r>
      <w:proofErr w:type="spellEnd"/>
      <w:r>
        <w:rPr>
          <w:rFonts w:cs="Times New Roman"/>
          <w:i/>
          <w:iCs/>
          <w:szCs w:val="24"/>
        </w:rPr>
        <w:t xml:space="preserve"> Xuebao</w:t>
      </w:r>
      <w:r>
        <w:rPr>
          <w:rFonts w:cs="Times New Roman"/>
          <w:szCs w:val="24"/>
        </w:rPr>
        <w:t>, </w:t>
      </w:r>
      <w:r>
        <w:rPr>
          <w:rFonts w:cs="Times New Roman"/>
          <w:i/>
          <w:iCs/>
          <w:szCs w:val="24"/>
        </w:rPr>
        <w:t>29</w:t>
      </w:r>
      <w:r>
        <w:rPr>
          <w:rFonts w:cs="Times New Roman"/>
          <w:szCs w:val="24"/>
        </w:rPr>
        <w:t>(3), 141-152.</w:t>
      </w:r>
    </w:p>
    <w:p w:rsidR="005A647A" w:rsidRDefault="005A647A" w:rsidP="005A647A">
      <w:pPr>
        <w:spacing w:line="240" w:lineRule="auto"/>
        <w:ind w:left="720" w:hanging="720"/>
        <w:rPr>
          <w:rFonts w:cs="Times New Roman"/>
          <w:szCs w:val="24"/>
        </w:rPr>
      </w:pPr>
      <w:r>
        <w:rPr>
          <w:rFonts w:cs="Times New Roman"/>
          <w:szCs w:val="24"/>
        </w:rPr>
        <w:t xml:space="preserve">Khadka, C. (2024). Social identity theory and group </w:t>
      </w:r>
      <w:proofErr w:type="spellStart"/>
      <w:r>
        <w:rPr>
          <w:rFonts w:cs="Times New Roman"/>
          <w:szCs w:val="24"/>
        </w:rPr>
        <w:t>behavior</w:t>
      </w:r>
      <w:proofErr w:type="spellEnd"/>
      <w:r>
        <w:rPr>
          <w:rFonts w:cs="Times New Roman"/>
          <w:szCs w:val="24"/>
        </w:rPr>
        <w:t>. </w:t>
      </w:r>
      <w:r>
        <w:rPr>
          <w:rFonts w:cs="Times New Roman"/>
          <w:i/>
          <w:iCs/>
          <w:szCs w:val="24"/>
        </w:rPr>
        <w:t>TUTA Journal</w:t>
      </w:r>
      <w:r>
        <w:rPr>
          <w:rFonts w:cs="Times New Roman"/>
          <w:szCs w:val="24"/>
        </w:rPr>
        <w:t>, 105-120.</w:t>
      </w:r>
    </w:p>
    <w:p w:rsidR="005A647A" w:rsidRDefault="005A647A" w:rsidP="005A647A">
      <w:pPr>
        <w:spacing w:line="240" w:lineRule="auto"/>
        <w:ind w:left="720" w:hanging="720"/>
        <w:rPr>
          <w:rFonts w:cs="Times New Roman"/>
          <w:szCs w:val="24"/>
        </w:rPr>
      </w:pPr>
      <w:r>
        <w:rPr>
          <w:rFonts w:cs="Times New Roman"/>
          <w:szCs w:val="24"/>
        </w:rPr>
        <w:t>Khan, I. (2023). Understanding Cultural Diversity: An Anthropological Approach. </w:t>
      </w:r>
      <w:r>
        <w:rPr>
          <w:rFonts w:cs="Times New Roman"/>
          <w:i/>
          <w:iCs/>
          <w:szCs w:val="24"/>
        </w:rPr>
        <w:t>Journal of Social Signs Review</w:t>
      </w:r>
      <w:r>
        <w:rPr>
          <w:rFonts w:cs="Times New Roman"/>
          <w:szCs w:val="24"/>
        </w:rPr>
        <w:t>, </w:t>
      </w:r>
      <w:r>
        <w:rPr>
          <w:rFonts w:cs="Times New Roman"/>
          <w:i/>
          <w:iCs/>
          <w:szCs w:val="24"/>
        </w:rPr>
        <w:t>1</w:t>
      </w:r>
      <w:r>
        <w:rPr>
          <w:rFonts w:cs="Times New Roman"/>
          <w:szCs w:val="24"/>
        </w:rPr>
        <w:t>(02), 43-52.</w:t>
      </w:r>
    </w:p>
    <w:p w:rsidR="005A647A" w:rsidRDefault="005A647A" w:rsidP="005A647A">
      <w:pPr>
        <w:spacing w:line="240" w:lineRule="auto"/>
        <w:ind w:left="720" w:hanging="720"/>
        <w:rPr>
          <w:rFonts w:cs="Times New Roman"/>
          <w:szCs w:val="24"/>
        </w:rPr>
      </w:pPr>
      <w:r>
        <w:rPr>
          <w:rFonts w:cs="Times New Roman"/>
          <w:szCs w:val="24"/>
        </w:rPr>
        <w:t>Malik, E., Dubey, S., &amp; Agarwal, A. (2024). From uncertainty to stability: a case of cultural integration of two organizations. </w:t>
      </w:r>
      <w:r>
        <w:rPr>
          <w:rFonts w:cs="Times New Roman"/>
          <w:i/>
          <w:iCs/>
          <w:szCs w:val="24"/>
        </w:rPr>
        <w:t>International Journal of Business Competition and Growth</w:t>
      </w:r>
      <w:r>
        <w:rPr>
          <w:rFonts w:cs="Times New Roman"/>
          <w:szCs w:val="24"/>
        </w:rPr>
        <w:t>, </w:t>
      </w:r>
      <w:r>
        <w:rPr>
          <w:rFonts w:cs="Times New Roman"/>
          <w:i/>
          <w:iCs/>
          <w:szCs w:val="24"/>
        </w:rPr>
        <w:t>9</w:t>
      </w:r>
      <w:r>
        <w:rPr>
          <w:rFonts w:cs="Times New Roman"/>
          <w:szCs w:val="24"/>
        </w:rPr>
        <w:t>(3-4), 263-300.</w:t>
      </w:r>
    </w:p>
    <w:p w:rsidR="005A647A" w:rsidRDefault="005A647A" w:rsidP="005A647A">
      <w:pPr>
        <w:spacing w:line="240" w:lineRule="auto"/>
        <w:ind w:left="720" w:hanging="720"/>
        <w:rPr>
          <w:rFonts w:cs="Times New Roman"/>
          <w:szCs w:val="24"/>
        </w:rPr>
      </w:pPr>
      <w:r>
        <w:rPr>
          <w:rFonts w:cs="Times New Roman"/>
          <w:szCs w:val="24"/>
        </w:rPr>
        <w:t>Martins, L. L., &amp; Sohn, W. (2022). How does diversity affect team cognitive processes? Understanding the cognitive pathways underlying the diversity dividend in teams. </w:t>
      </w:r>
      <w:r>
        <w:rPr>
          <w:rFonts w:cs="Times New Roman"/>
          <w:i/>
          <w:iCs/>
          <w:szCs w:val="24"/>
        </w:rPr>
        <w:t>Academy of Management Annals</w:t>
      </w:r>
      <w:r>
        <w:rPr>
          <w:rFonts w:cs="Times New Roman"/>
          <w:szCs w:val="24"/>
        </w:rPr>
        <w:t>, </w:t>
      </w:r>
      <w:r>
        <w:rPr>
          <w:rFonts w:cs="Times New Roman"/>
          <w:i/>
          <w:iCs/>
          <w:szCs w:val="24"/>
        </w:rPr>
        <w:t>16</w:t>
      </w:r>
      <w:r>
        <w:rPr>
          <w:rFonts w:cs="Times New Roman"/>
          <w:szCs w:val="24"/>
        </w:rPr>
        <w:t>(1), 134-178.</w:t>
      </w:r>
    </w:p>
    <w:p w:rsidR="005A647A" w:rsidRDefault="005A647A" w:rsidP="005A647A">
      <w:pPr>
        <w:spacing w:line="240" w:lineRule="auto"/>
        <w:ind w:left="720" w:hanging="720"/>
        <w:rPr>
          <w:rFonts w:cs="Times New Roman"/>
          <w:szCs w:val="24"/>
        </w:rPr>
      </w:pPr>
      <w:r>
        <w:rPr>
          <w:rFonts w:cs="Times New Roman"/>
          <w:szCs w:val="24"/>
        </w:rPr>
        <w:t>Miller, C. C., Chiu, S., Wesley II, C. L., Vera, D., &amp; Avery, D. R. (2022). Cognitive diversity at the strategic apex: Assessing evidence on the value of different perspectives and ideas among senior leaders. </w:t>
      </w:r>
      <w:r>
        <w:rPr>
          <w:rFonts w:cs="Times New Roman"/>
          <w:i/>
          <w:iCs/>
          <w:szCs w:val="24"/>
        </w:rPr>
        <w:t>Academy of Management Annals</w:t>
      </w:r>
      <w:r>
        <w:rPr>
          <w:rFonts w:cs="Times New Roman"/>
          <w:szCs w:val="24"/>
        </w:rPr>
        <w:t>, </w:t>
      </w:r>
      <w:r>
        <w:rPr>
          <w:rFonts w:cs="Times New Roman"/>
          <w:i/>
          <w:iCs/>
          <w:szCs w:val="24"/>
        </w:rPr>
        <w:t>16</w:t>
      </w:r>
      <w:r>
        <w:rPr>
          <w:rFonts w:cs="Times New Roman"/>
          <w:szCs w:val="24"/>
        </w:rPr>
        <w:t>(2), 806-852.</w:t>
      </w:r>
    </w:p>
    <w:p w:rsidR="005A647A" w:rsidRDefault="005A647A" w:rsidP="005A647A">
      <w:pPr>
        <w:spacing w:line="240" w:lineRule="auto"/>
        <w:ind w:left="720" w:hanging="720"/>
        <w:rPr>
          <w:rFonts w:cs="Times New Roman"/>
          <w:szCs w:val="24"/>
        </w:rPr>
      </w:pPr>
      <w:r>
        <w:rPr>
          <w:rFonts w:cs="Times New Roman"/>
          <w:szCs w:val="24"/>
        </w:rPr>
        <w:t>Nazir, O., &amp; Islam, J. U. (2017). Enhancing organizational commitment and employee performance through employee engagement: An empirical check. </w:t>
      </w:r>
      <w:r>
        <w:rPr>
          <w:rFonts w:cs="Times New Roman"/>
          <w:i/>
          <w:iCs/>
          <w:szCs w:val="24"/>
        </w:rPr>
        <w:t>South Asian Journal of Business Studies</w:t>
      </w:r>
      <w:r>
        <w:rPr>
          <w:rFonts w:cs="Times New Roman"/>
          <w:szCs w:val="24"/>
        </w:rPr>
        <w:t>, </w:t>
      </w:r>
      <w:r>
        <w:rPr>
          <w:rFonts w:cs="Times New Roman"/>
          <w:i/>
          <w:iCs/>
          <w:szCs w:val="24"/>
        </w:rPr>
        <w:t>6</w:t>
      </w:r>
      <w:r>
        <w:rPr>
          <w:rFonts w:cs="Times New Roman"/>
          <w:szCs w:val="24"/>
        </w:rPr>
        <w:t>(1), 98-114.</w:t>
      </w:r>
    </w:p>
    <w:p w:rsidR="005A647A" w:rsidRDefault="005A647A" w:rsidP="005A647A">
      <w:pPr>
        <w:spacing w:line="240" w:lineRule="auto"/>
        <w:ind w:left="720" w:hanging="720"/>
        <w:rPr>
          <w:rFonts w:cs="Times New Roman"/>
          <w:szCs w:val="24"/>
        </w:rPr>
      </w:pPr>
      <w:proofErr w:type="spellStart"/>
      <w:r>
        <w:rPr>
          <w:rFonts w:cs="Times New Roman"/>
          <w:szCs w:val="24"/>
        </w:rPr>
        <w:lastRenderedPageBreak/>
        <w:t>Nnabuife</w:t>
      </w:r>
      <w:proofErr w:type="spellEnd"/>
      <w:r>
        <w:rPr>
          <w:rFonts w:cs="Times New Roman"/>
          <w:szCs w:val="24"/>
        </w:rPr>
        <w:t>, K., &amp; Ikemefuna, M. (2020). Diversity Management and Employee Engagement a Comparative Analysis of Tertiary Institutions in North Central Nigeria. </w:t>
      </w:r>
      <w:r>
        <w:rPr>
          <w:rFonts w:cs="Times New Roman"/>
          <w:i/>
          <w:iCs/>
          <w:szCs w:val="24"/>
        </w:rPr>
        <w:t>International Journal of Trend in Scientific Research and Development</w:t>
      </w:r>
      <w:r>
        <w:rPr>
          <w:rFonts w:cs="Times New Roman"/>
          <w:szCs w:val="24"/>
        </w:rPr>
        <w:t>, </w:t>
      </w:r>
      <w:r>
        <w:rPr>
          <w:rFonts w:cs="Times New Roman"/>
          <w:i/>
          <w:iCs/>
          <w:szCs w:val="24"/>
        </w:rPr>
        <w:t>4</w:t>
      </w:r>
      <w:r>
        <w:rPr>
          <w:rFonts w:cs="Times New Roman"/>
          <w:szCs w:val="24"/>
        </w:rPr>
        <w:t>(3), 77-91.</w:t>
      </w:r>
    </w:p>
    <w:p w:rsidR="005A647A" w:rsidRDefault="005A647A" w:rsidP="005A647A">
      <w:pPr>
        <w:spacing w:line="240" w:lineRule="auto"/>
        <w:ind w:left="720" w:hanging="720"/>
        <w:rPr>
          <w:rFonts w:cs="Times New Roman"/>
          <w:szCs w:val="24"/>
        </w:rPr>
      </w:pPr>
      <w:r>
        <w:rPr>
          <w:rFonts w:cs="Times New Roman"/>
          <w:szCs w:val="24"/>
        </w:rPr>
        <w:t xml:space="preserve">Olu-Ogunleye, I., Akanji, B. O., Olanipekun, L. O., </w:t>
      </w:r>
      <w:proofErr w:type="spellStart"/>
      <w:r>
        <w:rPr>
          <w:rFonts w:cs="Times New Roman"/>
          <w:szCs w:val="24"/>
        </w:rPr>
        <w:t>Ihedinma</w:t>
      </w:r>
      <w:proofErr w:type="spellEnd"/>
      <w:r>
        <w:rPr>
          <w:rFonts w:cs="Times New Roman"/>
          <w:szCs w:val="24"/>
        </w:rPr>
        <w:t>, S. E. (2023). Effect of Workplace Diversity on Organizational Performance in Selected Private Universities in Southwestern Nigeria. </w:t>
      </w:r>
      <w:r>
        <w:rPr>
          <w:rFonts w:cs="Times New Roman"/>
          <w:i/>
          <w:iCs/>
          <w:szCs w:val="24"/>
        </w:rPr>
        <w:t>LASU Journal of Employment Relations &amp; Human Resource Management</w:t>
      </w:r>
      <w:r>
        <w:rPr>
          <w:rFonts w:cs="Times New Roman"/>
          <w:szCs w:val="24"/>
        </w:rPr>
        <w:t>, </w:t>
      </w:r>
      <w:r>
        <w:rPr>
          <w:rFonts w:cs="Times New Roman"/>
          <w:i/>
          <w:iCs/>
          <w:szCs w:val="24"/>
        </w:rPr>
        <w:t>4</w:t>
      </w:r>
      <w:r>
        <w:rPr>
          <w:rFonts w:cs="Times New Roman"/>
          <w:szCs w:val="24"/>
        </w:rPr>
        <w:t>(2), 101-123.</w:t>
      </w:r>
    </w:p>
    <w:p w:rsidR="005A647A" w:rsidRDefault="005A647A" w:rsidP="005A647A">
      <w:pPr>
        <w:spacing w:line="240" w:lineRule="auto"/>
        <w:ind w:left="720" w:hanging="720"/>
        <w:rPr>
          <w:rFonts w:eastAsiaTheme="majorEastAsia" w:cs="Times New Roman"/>
          <w:spacing w:val="-10"/>
          <w:kern w:val="28"/>
          <w:szCs w:val="24"/>
        </w:rPr>
      </w:pPr>
      <w:proofErr w:type="spellStart"/>
      <w:r>
        <w:rPr>
          <w:rFonts w:eastAsiaTheme="majorEastAsia" w:cs="Times New Roman"/>
          <w:spacing w:val="-10"/>
          <w:kern w:val="28"/>
          <w:szCs w:val="24"/>
        </w:rPr>
        <w:t>Onwuzu</w:t>
      </w:r>
      <w:proofErr w:type="spellEnd"/>
      <w:r>
        <w:rPr>
          <w:rFonts w:eastAsiaTheme="majorEastAsia" w:cs="Times New Roman"/>
          <w:spacing w:val="-10"/>
          <w:kern w:val="28"/>
          <w:szCs w:val="24"/>
        </w:rPr>
        <w:t>, K. C., &amp; Nnamani, E. (2023). Effect of Cultural Diversity on Organizational Performance: A Case Study of Nigerian Breweries. </w:t>
      </w:r>
      <w:r>
        <w:rPr>
          <w:rFonts w:eastAsiaTheme="majorEastAsia" w:cs="Times New Roman"/>
          <w:i/>
          <w:iCs/>
          <w:spacing w:val="-10"/>
          <w:kern w:val="28"/>
          <w:szCs w:val="24"/>
        </w:rPr>
        <w:t>British International Journal of Business and Marketing Research</w:t>
      </w:r>
      <w:r>
        <w:rPr>
          <w:rFonts w:eastAsiaTheme="majorEastAsia" w:cs="Times New Roman"/>
          <w:spacing w:val="-10"/>
          <w:kern w:val="28"/>
          <w:szCs w:val="24"/>
        </w:rPr>
        <w:t>, </w:t>
      </w:r>
      <w:r>
        <w:rPr>
          <w:rFonts w:eastAsiaTheme="majorEastAsia" w:cs="Times New Roman"/>
          <w:i/>
          <w:iCs/>
          <w:spacing w:val="-10"/>
          <w:kern w:val="28"/>
          <w:szCs w:val="24"/>
        </w:rPr>
        <w:t>6</w:t>
      </w:r>
      <w:r>
        <w:rPr>
          <w:rFonts w:eastAsiaTheme="majorEastAsia" w:cs="Times New Roman"/>
          <w:spacing w:val="-10"/>
          <w:kern w:val="28"/>
          <w:szCs w:val="24"/>
        </w:rPr>
        <w:t>(2), 16-40.</w:t>
      </w:r>
    </w:p>
    <w:p w:rsidR="005A647A" w:rsidRDefault="005A647A" w:rsidP="005A647A">
      <w:pPr>
        <w:spacing w:line="240" w:lineRule="auto"/>
        <w:ind w:left="720" w:hanging="720"/>
        <w:rPr>
          <w:rFonts w:cs="Times New Roman"/>
          <w:szCs w:val="24"/>
        </w:rPr>
      </w:pPr>
      <w:r>
        <w:rPr>
          <w:rFonts w:cs="Times New Roman"/>
          <w:szCs w:val="24"/>
        </w:rPr>
        <w:t>Ooi, L., Ng, K. L., Heng, W. C., Chua, Y. F., &amp; Lim, Y. H. (2022). Human resource practices and employee engagement: A study among academicians in Malaysian private higher education institutions. </w:t>
      </w:r>
      <w:r>
        <w:rPr>
          <w:rFonts w:cs="Times New Roman"/>
          <w:i/>
          <w:iCs/>
          <w:szCs w:val="24"/>
        </w:rPr>
        <w:t>International Journal of Management Studies</w:t>
      </w:r>
      <w:r>
        <w:rPr>
          <w:rFonts w:cs="Times New Roman"/>
          <w:szCs w:val="24"/>
        </w:rPr>
        <w:t>, </w:t>
      </w:r>
      <w:r>
        <w:rPr>
          <w:rFonts w:cs="Times New Roman"/>
          <w:i/>
          <w:iCs/>
          <w:szCs w:val="24"/>
        </w:rPr>
        <w:t>29</w:t>
      </w:r>
      <w:r>
        <w:rPr>
          <w:rFonts w:cs="Times New Roman"/>
          <w:szCs w:val="24"/>
        </w:rPr>
        <w:t>(2), 71-100.</w:t>
      </w:r>
    </w:p>
    <w:p w:rsidR="005A647A" w:rsidRDefault="005A647A" w:rsidP="005A647A">
      <w:pPr>
        <w:spacing w:line="240" w:lineRule="auto"/>
        <w:ind w:left="720" w:hanging="720"/>
        <w:rPr>
          <w:rFonts w:cs="Times New Roman"/>
          <w:szCs w:val="24"/>
        </w:rPr>
      </w:pPr>
      <w:proofErr w:type="spellStart"/>
      <w:r>
        <w:rPr>
          <w:rFonts w:cs="Times New Roman"/>
          <w:szCs w:val="24"/>
        </w:rPr>
        <w:t>Ozgen</w:t>
      </w:r>
      <w:proofErr w:type="spellEnd"/>
      <w:r>
        <w:rPr>
          <w:rFonts w:cs="Times New Roman"/>
          <w:szCs w:val="24"/>
        </w:rPr>
        <w:t xml:space="preserve">, C., Peters, C., Niebuhr, A., Nijkamp, P., &amp; Poot, J. (2014). Does cultural diversity of migrant employees affect </w:t>
      </w:r>
      <w:proofErr w:type="gramStart"/>
      <w:r>
        <w:rPr>
          <w:rFonts w:cs="Times New Roman"/>
          <w:szCs w:val="24"/>
        </w:rPr>
        <w:t>innovation?.</w:t>
      </w:r>
      <w:proofErr w:type="gramEnd"/>
      <w:r>
        <w:rPr>
          <w:rFonts w:cs="Times New Roman"/>
          <w:szCs w:val="24"/>
        </w:rPr>
        <w:t> </w:t>
      </w:r>
      <w:r>
        <w:rPr>
          <w:rFonts w:cs="Times New Roman"/>
          <w:i/>
          <w:iCs/>
          <w:szCs w:val="24"/>
        </w:rPr>
        <w:t>International Migration Review</w:t>
      </w:r>
      <w:r>
        <w:rPr>
          <w:rFonts w:cs="Times New Roman"/>
          <w:szCs w:val="24"/>
        </w:rPr>
        <w:t>, </w:t>
      </w:r>
      <w:r>
        <w:rPr>
          <w:rFonts w:cs="Times New Roman"/>
          <w:i/>
          <w:iCs/>
          <w:szCs w:val="24"/>
        </w:rPr>
        <w:t>48</w:t>
      </w:r>
      <w:r>
        <w:rPr>
          <w:rFonts w:cs="Times New Roman"/>
          <w:szCs w:val="24"/>
        </w:rPr>
        <w:t>, S377-S416.</w:t>
      </w:r>
    </w:p>
    <w:p w:rsidR="005A647A" w:rsidRDefault="005A647A" w:rsidP="005A647A">
      <w:pPr>
        <w:spacing w:line="240" w:lineRule="auto"/>
        <w:ind w:left="720" w:hanging="720"/>
        <w:rPr>
          <w:rFonts w:cs="Times New Roman"/>
          <w:szCs w:val="24"/>
        </w:rPr>
      </w:pPr>
      <w:r>
        <w:rPr>
          <w:rFonts w:cs="Times New Roman"/>
          <w:szCs w:val="24"/>
        </w:rPr>
        <w:t xml:space="preserve">Pham-Thai, N. T., McMurray, A. J., </w:t>
      </w:r>
      <w:proofErr w:type="spellStart"/>
      <w:r>
        <w:rPr>
          <w:rFonts w:cs="Times New Roman"/>
          <w:szCs w:val="24"/>
        </w:rPr>
        <w:t>Muenjohn</w:t>
      </w:r>
      <w:proofErr w:type="spellEnd"/>
      <w:r>
        <w:rPr>
          <w:rFonts w:cs="Times New Roman"/>
          <w:szCs w:val="24"/>
        </w:rPr>
        <w:t>, N., &amp; Muchiri, M. (2018). Job engagement in higher education. </w:t>
      </w:r>
      <w:r>
        <w:rPr>
          <w:rFonts w:cs="Times New Roman"/>
          <w:i/>
          <w:iCs/>
          <w:szCs w:val="24"/>
        </w:rPr>
        <w:t>Personnel Review</w:t>
      </w:r>
      <w:r>
        <w:rPr>
          <w:rFonts w:cs="Times New Roman"/>
          <w:szCs w:val="24"/>
        </w:rPr>
        <w:t>, </w:t>
      </w:r>
      <w:r>
        <w:rPr>
          <w:rFonts w:cs="Times New Roman"/>
          <w:i/>
          <w:iCs/>
          <w:szCs w:val="24"/>
        </w:rPr>
        <w:t>47</w:t>
      </w:r>
      <w:r>
        <w:rPr>
          <w:rFonts w:cs="Times New Roman"/>
          <w:szCs w:val="24"/>
        </w:rPr>
        <w:t>(4), 951-967.</w:t>
      </w:r>
    </w:p>
    <w:p w:rsidR="005A647A" w:rsidRDefault="005A647A" w:rsidP="005A647A">
      <w:pPr>
        <w:spacing w:line="240" w:lineRule="auto"/>
        <w:ind w:left="720" w:hanging="720"/>
        <w:rPr>
          <w:rFonts w:eastAsiaTheme="majorEastAsia" w:cs="Times New Roman"/>
          <w:spacing w:val="-10"/>
          <w:kern w:val="28"/>
          <w:szCs w:val="24"/>
        </w:rPr>
      </w:pPr>
      <w:r>
        <w:rPr>
          <w:rFonts w:eastAsiaTheme="majorEastAsia" w:cs="Times New Roman"/>
          <w:spacing w:val="-10"/>
          <w:kern w:val="28"/>
          <w:szCs w:val="24"/>
        </w:rPr>
        <w:t>Pieterse, A. N., Van Knippenberg, D., &amp; Van Dierendonck, D. (2013). Cultural diversity and team performance: The role of team member goal orientation. </w:t>
      </w:r>
      <w:r>
        <w:rPr>
          <w:rFonts w:eastAsiaTheme="majorEastAsia" w:cs="Times New Roman"/>
          <w:i/>
          <w:iCs/>
          <w:spacing w:val="-10"/>
          <w:kern w:val="28"/>
          <w:szCs w:val="24"/>
        </w:rPr>
        <w:t>Academy of management journal</w:t>
      </w:r>
      <w:r>
        <w:rPr>
          <w:rFonts w:eastAsiaTheme="majorEastAsia" w:cs="Times New Roman"/>
          <w:spacing w:val="-10"/>
          <w:kern w:val="28"/>
          <w:szCs w:val="24"/>
        </w:rPr>
        <w:t>, </w:t>
      </w:r>
      <w:r>
        <w:rPr>
          <w:rFonts w:eastAsiaTheme="majorEastAsia" w:cs="Times New Roman"/>
          <w:i/>
          <w:iCs/>
          <w:spacing w:val="-10"/>
          <w:kern w:val="28"/>
          <w:szCs w:val="24"/>
        </w:rPr>
        <w:t>56</w:t>
      </w:r>
      <w:r>
        <w:rPr>
          <w:rFonts w:eastAsiaTheme="majorEastAsia" w:cs="Times New Roman"/>
          <w:spacing w:val="-10"/>
          <w:kern w:val="28"/>
          <w:szCs w:val="24"/>
        </w:rPr>
        <w:t>(3), 782-804.</w:t>
      </w:r>
    </w:p>
    <w:p w:rsidR="005A647A" w:rsidRDefault="005A647A" w:rsidP="005A647A">
      <w:pPr>
        <w:spacing w:line="240" w:lineRule="auto"/>
        <w:ind w:left="720" w:hanging="720"/>
        <w:rPr>
          <w:rFonts w:cs="Times New Roman"/>
          <w:szCs w:val="24"/>
        </w:rPr>
      </w:pPr>
      <w:r>
        <w:rPr>
          <w:rFonts w:cs="Times New Roman"/>
          <w:szCs w:val="24"/>
        </w:rPr>
        <w:t>Raina, R., &amp; Roebuck, D. B. (2016). Exploring cultural influence on managerial communication in relationship to job satisfaction, organizational commitment, and the employees’ propensity to leave in the insurance sector of India. </w:t>
      </w:r>
      <w:r>
        <w:rPr>
          <w:rFonts w:cs="Times New Roman"/>
          <w:i/>
          <w:iCs/>
          <w:szCs w:val="24"/>
        </w:rPr>
        <w:t>International Journal of Business Communication</w:t>
      </w:r>
      <w:r>
        <w:rPr>
          <w:rFonts w:cs="Times New Roman"/>
          <w:szCs w:val="24"/>
        </w:rPr>
        <w:t>, </w:t>
      </w:r>
      <w:r>
        <w:rPr>
          <w:rFonts w:cs="Times New Roman"/>
          <w:i/>
          <w:iCs/>
          <w:szCs w:val="24"/>
        </w:rPr>
        <w:t>53</w:t>
      </w:r>
      <w:r>
        <w:rPr>
          <w:rFonts w:cs="Times New Roman"/>
          <w:szCs w:val="24"/>
        </w:rPr>
        <w:t>(1), 97-130.</w:t>
      </w:r>
    </w:p>
    <w:p w:rsidR="005A647A" w:rsidRDefault="005A647A" w:rsidP="005A647A">
      <w:pPr>
        <w:spacing w:line="240" w:lineRule="auto"/>
        <w:ind w:left="720" w:hanging="720"/>
        <w:rPr>
          <w:rFonts w:cs="Times New Roman"/>
          <w:szCs w:val="24"/>
        </w:rPr>
      </w:pPr>
      <w:r>
        <w:rPr>
          <w:rFonts w:cs="Times New Roman"/>
          <w:szCs w:val="24"/>
        </w:rPr>
        <w:t>Rutishauser, L., &amp; Sender, A. (2021). Effect of team-member exchange on turnover intention: a cross-cultural perspective on a selected aspect of employee engagement. In </w:t>
      </w:r>
      <w:r>
        <w:rPr>
          <w:rFonts w:cs="Times New Roman"/>
          <w:i/>
          <w:iCs/>
          <w:szCs w:val="24"/>
        </w:rPr>
        <w:t>International Perspectives on Employee Engagement</w:t>
      </w:r>
      <w:r>
        <w:rPr>
          <w:rFonts w:cs="Times New Roman"/>
          <w:szCs w:val="24"/>
        </w:rPr>
        <w:t> (pp. 52-71). Routledge.</w:t>
      </w:r>
    </w:p>
    <w:p w:rsidR="005A647A" w:rsidRDefault="005A647A" w:rsidP="005A647A">
      <w:pPr>
        <w:spacing w:line="240" w:lineRule="auto"/>
        <w:ind w:left="720" w:hanging="720"/>
        <w:rPr>
          <w:rFonts w:cs="Times New Roman"/>
          <w:szCs w:val="24"/>
        </w:rPr>
      </w:pPr>
      <w:proofErr w:type="spellStart"/>
      <w:r>
        <w:rPr>
          <w:rFonts w:cs="Times New Roman"/>
          <w:szCs w:val="24"/>
        </w:rPr>
        <w:t>Sethibe</w:t>
      </w:r>
      <w:proofErr w:type="spellEnd"/>
      <w:r>
        <w:rPr>
          <w:rFonts w:cs="Times New Roman"/>
          <w:szCs w:val="24"/>
        </w:rPr>
        <w:t>, T., &amp; Steyn, R. (2016). Innovation and organizational performance: A critical review of the instruments used to measure organizational performance. </w:t>
      </w:r>
      <w:r>
        <w:rPr>
          <w:rFonts w:cs="Times New Roman"/>
          <w:i/>
          <w:iCs/>
          <w:szCs w:val="24"/>
        </w:rPr>
        <w:t>The Southern African Journal of Entrepreneurship and Small Business Management</w:t>
      </w:r>
      <w:r>
        <w:rPr>
          <w:rFonts w:cs="Times New Roman"/>
          <w:szCs w:val="24"/>
        </w:rPr>
        <w:t>, </w:t>
      </w:r>
      <w:r>
        <w:rPr>
          <w:rFonts w:cs="Times New Roman"/>
          <w:i/>
          <w:iCs/>
          <w:szCs w:val="24"/>
        </w:rPr>
        <w:t>8</w:t>
      </w:r>
      <w:r>
        <w:rPr>
          <w:rFonts w:cs="Times New Roman"/>
          <w:szCs w:val="24"/>
        </w:rPr>
        <w:t>(1), 12.</w:t>
      </w:r>
    </w:p>
    <w:p w:rsidR="005A647A" w:rsidRDefault="005A647A" w:rsidP="005A647A">
      <w:pPr>
        <w:spacing w:line="240" w:lineRule="auto"/>
        <w:ind w:left="720" w:hanging="720"/>
        <w:rPr>
          <w:rFonts w:cs="Times New Roman"/>
          <w:szCs w:val="24"/>
        </w:rPr>
      </w:pPr>
      <w:r>
        <w:rPr>
          <w:rFonts w:cs="Times New Roman"/>
          <w:szCs w:val="24"/>
        </w:rPr>
        <w:t>Singh, D. (2014). Managing cross-cultural diversity: Issues and challenges in global organizations. </w:t>
      </w:r>
      <w:r>
        <w:rPr>
          <w:rFonts w:cs="Times New Roman"/>
          <w:i/>
          <w:iCs/>
          <w:szCs w:val="24"/>
        </w:rPr>
        <w:t>Journal of Mechanical and Civil Engineering</w:t>
      </w:r>
      <w:r>
        <w:rPr>
          <w:rFonts w:cs="Times New Roman"/>
          <w:szCs w:val="24"/>
        </w:rPr>
        <w:t>, </w:t>
      </w:r>
      <w:r>
        <w:rPr>
          <w:rFonts w:cs="Times New Roman"/>
          <w:i/>
          <w:iCs/>
          <w:szCs w:val="24"/>
        </w:rPr>
        <w:t>3</w:t>
      </w:r>
      <w:r>
        <w:rPr>
          <w:rFonts w:cs="Times New Roman"/>
          <w:szCs w:val="24"/>
        </w:rPr>
        <w:t>, 43-50.</w:t>
      </w:r>
    </w:p>
    <w:p w:rsidR="005A647A" w:rsidRDefault="005A647A" w:rsidP="005A647A">
      <w:pPr>
        <w:spacing w:line="240" w:lineRule="auto"/>
        <w:ind w:left="720" w:hanging="720"/>
        <w:rPr>
          <w:rFonts w:cs="Times New Roman"/>
          <w:szCs w:val="24"/>
        </w:rPr>
      </w:pPr>
      <w:r>
        <w:rPr>
          <w:rFonts w:cs="Times New Roman"/>
          <w:szCs w:val="24"/>
        </w:rPr>
        <w:t xml:space="preserve">Stahl, G. K., &amp; </w:t>
      </w:r>
      <w:proofErr w:type="spellStart"/>
      <w:r>
        <w:rPr>
          <w:rFonts w:cs="Times New Roman"/>
          <w:szCs w:val="24"/>
        </w:rPr>
        <w:t>Maznevski</w:t>
      </w:r>
      <w:proofErr w:type="spellEnd"/>
      <w:r>
        <w:rPr>
          <w:rFonts w:cs="Times New Roman"/>
          <w:szCs w:val="24"/>
        </w:rPr>
        <w:t xml:space="preserve">, M. L. (2021). </w:t>
      </w:r>
      <w:proofErr w:type="spellStart"/>
      <w:r>
        <w:rPr>
          <w:rFonts w:cs="Times New Roman"/>
          <w:szCs w:val="24"/>
        </w:rPr>
        <w:t>Unraveling</w:t>
      </w:r>
      <w:proofErr w:type="spellEnd"/>
      <w:r>
        <w:rPr>
          <w:rFonts w:cs="Times New Roman"/>
          <w:szCs w:val="24"/>
        </w:rPr>
        <w:t xml:space="preserve"> the effects of cultural diversity in teams: A retrospective of research on multicultural work groups and an agenda for future research. </w:t>
      </w:r>
      <w:r>
        <w:rPr>
          <w:rFonts w:cs="Times New Roman"/>
          <w:i/>
          <w:iCs/>
          <w:szCs w:val="24"/>
        </w:rPr>
        <w:t>Journal of International Business Studies</w:t>
      </w:r>
      <w:r>
        <w:rPr>
          <w:rFonts w:cs="Times New Roman"/>
          <w:szCs w:val="24"/>
        </w:rPr>
        <w:t>, </w:t>
      </w:r>
      <w:r>
        <w:rPr>
          <w:rFonts w:cs="Times New Roman"/>
          <w:i/>
          <w:iCs/>
          <w:szCs w:val="24"/>
        </w:rPr>
        <w:t>52</w:t>
      </w:r>
      <w:r>
        <w:rPr>
          <w:rFonts w:cs="Times New Roman"/>
          <w:szCs w:val="24"/>
        </w:rPr>
        <w:t>(1), 4.</w:t>
      </w:r>
    </w:p>
    <w:p w:rsidR="005A647A" w:rsidRDefault="005A647A" w:rsidP="005A647A">
      <w:pPr>
        <w:spacing w:line="240" w:lineRule="auto"/>
        <w:ind w:left="720" w:hanging="720"/>
        <w:rPr>
          <w:rFonts w:cs="Times New Roman"/>
          <w:szCs w:val="24"/>
        </w:rPr>
      </w:pPr>
      <w:proofErr w:type="spellStart"/>
      <w:r>
        <w:rPr>
          <w:rFonts w:cs="Times New Roman"/>
          <w:szCs w:val="24"/>
        </w:rPr>
        <w:t>Suedekum</w:t>
      </w:r>
      <w:proofErr w:type="spellEnd"/>
      <w:r>
        <w:rPr>
          <w:rFonts w:cs="Times New Roman"/>
          <w:szCs w:val="24"/>
        </w:rPr>
        <w:t xml:space="preserve">, J., Wolf, K., &amp; Blien, U. (2014). Cultural diversity and local </w:t>
      </w:r>
      <w:proofErr w:type="spellStart"/>
      <w:r>
        <w:rPr>
          <w:rFonts w:cs="Times New Roman"/>
          <w:szCs w:val="24"/>
        </w:rPr>
        <w:t>labor</w:t>
      </w:r>
      <w:proofErr w:type="spellEnd"/>
      <w:r>
        <w:rPr>
          <w:rFonts w:cs="Times New Roman"/>
          <w:szCs w:val="24"/>
        </w:rPr>
        <w:t xml:space="preserve"> markets. </w:t>
      </w:r>
      <w:r>
        <w:rPr>
          <w:rFonts w:cs="Times New Roman"/>
          <w:i/>
          <w:iCs/>
          <w:szCs w:val="24"/>
        </w:rPr>
        <w:t>Regional Studies</w:t>
      </w:r>
      <w:r>
        <w:rPr>
          <w:rFonts w:cs="Times New Roman"/>
          <w:szCs w:val="24"/>
        </w:rPr>
        <w:t>, </w:t>
      </w:r>
      <w:r>
        <w:rPr>
          <w:rFonts w:cs="Times New Roman"/>
          <w:i/>
          <w:iCs/>
          <w:szCs w:val="24"/>
        </w:rPr>
        <w:t>48</w:t>
      </w:r>
      <w:r>
        <w:rPr>
          <w:rFonts w:cs="Times New Roman"/>
          <w:szCs w:val="24"/>
        </w:rPr>
        <w:t>(1), 173-191.</w:t>
      </w:r>
    </w:p>
    <w:p w:rsidR="005A647A" w:rsidRDefault="005A647A" w:rsidP="005A647A">
      <w:pPr>
        <w:spacing w:line="240" w:lineRule="auto"/>
        <w:ind w:left="720" w:hanging="720"/>
        <w:rPr>
          <w:rFonts w:cs="Times New Roman"/>
          <w:szCs w:val="24"/>
        </w:rPr>
      </w:pPr>
      <w:r>
        <w:rPr>
          <w:rFonts w:cs="Times New Roman"/>
          <w:szCs w:val="24"/>
        </w:rPr>
        <w:lastRenderedPageBreak/>
        <w:t>Tabassi, A. A., Abdullah, A., &amp; Bryde, D. J. (2019). Conflict management, team coordination, and performance within multicultural temporary projects: Evidence from the construction industry. </w:t>
      </w:r>
      <w:r>
        <w:rPr>
          <w:rFonts w:cs="Times New Roman"/>
          <w:i/>
          <w:iCs/>
          <w:szCs w:val="24"/>
        </w:rPr>
        <w:t>Project Management Journal</w:t>
      </w:r>
      <w:r>
        <w:rPr>
          <w:rFonts w:cs="Times New Roman"/>
          <w:szCs w:val="24"/>
        </w:rPr>
        <w:t>, </w:t>
      </w:r>
      <w:r>
        <w:rPr>
          <w:rFonts w:cs="Times New Roman"/>
          <w:i/>
          <w:iCs/>
          <w:szCs w:val="24"/>
        </w:rPr>
        <w:t>50</w:t>
      </w:r>
      <w:r>
        <w:rPr>
          <w:rFonts w:cs="Times New Roman"/>
          <w:szCs w:val="24"/>
        </w:rPr>
        <w:t>(1), 101-114.</w:t>
      </w:r>
    </w:p>
    <w:p w:rsidR="005A647A" w:rsidRDefault="005A647A" w:rsidP="005A647A">
      <w:pPr>
        <w:spacing w:line="240" w:lineRule="auto"/>
        <w:ind w:left="720" w:hanging="720"/>
        <w:rPr>
          <w:rFonts w:cs="Times New Roman"/>
          <w:szCs w:val="24"/>
        </w:rPr>
      </w:pPr>
      <w:proofErr w:type="spellStart"/>
      <w:r>
        <w:rPr>
          <w:rFonts w:cs="Times New Roman"/>
          <w:szCs w:val="24"/>
        </w:rPr>
        <w:t>Trepte</w:t>
      </w:r>
      <w:proofErr w:type="spellEnd"/>
      <w:r>
        <w:rPr>
          <w:rFonts w:cs="Times New Roman"/>
          <w:szCs w:val="24"/>
        </w:rPr>
        <w:t>, S., &amp; Loy, L. S. (2017). Social identity theory and self-categorization theory. </w:t>
      </w:r>
      <w:r>
        <w:rPr>
          <w:rFonts w:cs="Times New Roman"/>
          <w:i/>
          <w:iCs/>
          <w:szCs w:val="24"/>
        </w:rPr>
        <w:t xml:space="preserve">The international </w:t>
      </w:r>
      <w:proofErr w:type="spellStart"/>
      <w:r>
        <w:rPr>
          <w:rFonts w:cs="Times New Roman"/>
          <w:i/>
          <w:iCs/>
          <w:szCs w:val="24"/>
        </w:rPr>
        <w:t>encyclopedia</w:t>
      </w:r>
      <w:proofErr w:type="spellEnd"/>
      <w:r>
        <w:rPr>
          <w:rFonts w:cs="Times New Roman"/>
          <w:i/>
          <w:iCs/>
          <w:szCs w:val="24"/>
        </w:rPr>
        <w:t xml:space="preserve"> of media effects</w:t>
      </w:r>
      <w:r>
        <w:rPr>
          <w:rFonts w:cs="Times New Roman"/>
          <w:szCs w:val="24"/>
        </w:rPr>
        <w:t>, </w:t>
      </w:r>
      <w:r>
        <w:rPr>
          <w:rFonts w:cs="Times New Roman"/>
          <w:i/>
          <w:iCs/>
          <w:szCs w:val="24"/>
        </w:rPr>
        <w:t>63</w:t>
      </w:r>
      <w:r>
        <w:rPr>
          <w:rFonts w:cs="Times New Roman"/>
          <w:szCs w:val="24"/>
        </w:rPr>
        <w:t>, 1-13.</w:t>
      </w:r>
    </w:p>
    <w:p w:rsidR="005A647A" w:rsidRDefault="005A647A" w:rsidP="005A647A">
      <w:pPr>
        <w:spacing w:line="240" w:lineRule="auto"/>
        <w:ind w:left="720" w:hanging="720"/>
        <w:rPr>
          <w:rFonts w:cs="Times New Roman"/>
          <w:szCs w:val="24"/>
        </w:rPr>
      </w:pPr>
      <w:r>
        <w:rPr>
          <w:rFonts w:cs="Times New Roman"/>
          <w:szCs w:val="24"/>
        </w:rPr>
        <w:t>Vangen, S., &amp; Winchester, N. (2014). Managing cultural diversity in collaborations: A focus on management tensions. </w:t>
      </w:r>
      <w:r>
        <w:rPr>
          <w:rFonts w:cs="Times New Roman"/>
          <w:i/>
          <w:iCs/>
          <w:szCs w:val="24"/>
        </w:rPr>
        <w:t>Public Management Review</w:t>
      </w:r>
      <w:r>
        <w:rPr>
          <w:rFonts w:cs="Times New Roman"/>
          <w:szCs w:val="24"/>
        </w:rPr>
        <w:t>, </w:t>
      </w:r>
      <w:r>
        <w:rPr>
          <w:rFonts w:cs="Times New Roman"/>
          <w:i/>
          <w:iCs/>
          <w:szCs w:val="24"/>
        </w:rPr>
        <w:t>16</w:t>
      </w:r>
      <w:r>
        <w:rPr>
          <w:rFonts w:cs="Times New Roman"/>
          <w:szCs w:val="24"/>
        </w:rPr>
        <w:t>(5), 686-707.</w:t>
      </w:r>
    </w:p>
    <w:p w:rsidR="005A647A" w:rsidRDefault="005A647A" w:rsidP="005A647A">
      <w:pPr>
        <w:spacing w:line="240" w:lineRule="auto"/>
        <w:ind w:left="720" w:hanging="720"/>
        <w:rPr>
          <w:rFonts w:cs="Times New Roman"/>
          <w:szCs w:val="24"/>
        </w:rPr>
      </w:pPr>
      <w:r>
        <w:rPr>
          <w:rFonts w:cs="Times New Roman"/>
          <w:szCs w:val="24"/>
        </w:rPr>
        <w:t>Zairi, M. (2012). </w:t>
      </w:r>
      <w:r>
        <w:rPr>
          <w:rFonts w:cs="Times New Roman"/>
          <w:i/>
          <w:iCs/>
          <w:szCs w:val="24"/>
        </w:rPr>
        <w:t>Measuring performance for business results</w:t>
      </w:r>
      <w:r>
        <w:rPr>
          <w:rFonts w:cs="Times New Roman"/>
          <w:szCs w:val="24"/>
        </w:rPr>
        <w:t>. Springer Science &amp; Business Media.</w:t>
      </w:r>
    </w:p>
    <w:p w:rsidR="005A647A" w:rsidRPr="005606CC" w:rsidRDefault="005A647A" w:rsidP="005A647A">
      <w:pPr>
        <w:spacing w:line="240" w:lineRule="auto"/>
        <w:ind w:left="567" w:hanging="567"/>
        <w:rPr>
          <w:rFonts w:cs="Times New Roman"/>
          <w:szCs w:val="24"/>
        </w:rPr>
      </w:pPr>
    </w:p>
    <w:p w:rsidR="005A647A" w:rsidRDefault="005A647A" w:rsidP="005A647A"/>
    <w:p w:rsidR="005A647A" w:rsidRDefault="005A647A" w:rsidP="005A647A"/>
    <w:p w:rsidR="00AD7209" w:rsidRDefault="00AD7209"/>
    <w:sectPr w:rsidR="00AD7209" w:rsidSect="005A647A">
      <w:headerReference w:type="default" r:id="rId7"/>
      <w:footerReference w:type="default" r:id="rId8"/>
      <w:pgSz w:w="12240" w:h="15840"/>
      <w:pgMar w:top="1440" w:right="1440" w:bottom="1440" w:left="1440" w:header="708" w:footer="708" w:gutter="0"/>
      <w:pgNumType w:start="1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321" w:rsidRDefault="00FE0321" w:rsidP="005A647A">
      <w:pPr>
        <w:spacing w:after="0" w:line="240" w:lineRule="auto"/>
      </w:pPr>
      <w:r>
        <w:separator/>
      </w:r>
    </w:p>
  </w:endnote>
  <w:endnote w:type="continuationSeparator" w:id="0">
    <w:p w:rsidR="00FE0321" w:rsidRDefault="00FE0321" w:rsidP="005A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028039"/>
      <w:docPartObj>
        <w:docPartGallery w:val="Page Numbers (Bottom of Page)"/>
        <w:docPartUnique/>
      </w:docPartObj>
    </w:sdtPr>
    <w:sdtEndPr>
      <w:rPr>
        <w:noProof/>
      </w:rPr>
    </w:sdtEndPr>
    <w:sdtContent>
      <w:p w:rsidR="005A647A" w:rsidRDefault="005A64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A647A" w:rsidRDefault="005A6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321" w:rsidRDefault="00FE0321" w:rsidP="005A647A">
      <w:pPr>
        <w:spacing w:after="0" w:line="240" w:lineRule="auto"/>
      </w:pPr>
      <w:r>
        <w:separator/>
      </w:r>
    </w:p>
  </w:footnote>
  <w:footnote w:type="continuationSeparator" w:id="0">
    <w:p w:rsidR="00FE0321" w:rsidRDefault="00FE0321" w:rsidP="005A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47A" w:rsidRDefault="005A647A"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rsidR="005A647A" w:rsidRDefault="005A6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7FF7"/>
    <w:multiLevelType w:val="hybridMultilevel"/>
    <w:tmpl w:val="F1803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B18EA"/>
    <w:multiLevelType w:val="multilevel"/>
    <w:tmpl w:val="194B18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1A69C4"/>
    <w:multiLevelType w:val="hybridMultilevel"/>
    <w:tmpl w:val="AF04C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7088680">
    <w:abstractNumId w:val="0"/>
  </w:num>
  <w:num w:numId="2" w16cid:durableId="571814685">
    <w:abstractNumId w:val="2"/>
  </w:num>
  <w:num w:numId="3" w16cid:durableId="928848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7A"/>
    <w:rsid w:val="003129EE"/>
    <w:rsid w:val="004216BB"/>
    <w:rsid w:val="005A647A"/>
    <w:rsid w:val="00673CC5"/>
    <w:rsid w:val="00AD7209"/>
    <w:rsid w:val="00EB6F3F"/>
    <w:rsid w:val="00F441FF"/>
    <w:rsid w:val="00FE0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FD855"/>
  <w15:chartTrackingRefBased/>
  <w15:docId w15:val="{90F64375-EFAF-498F-B68E-1DD1D8B3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47A"/>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5A647A"/>
    <w:pPr>
      <w:widowControl w:val="0"/>
      <w:autoSpaceDE w:val="0"/>
      <w:autoSpaceDN w:val="0"/>
      <w:spacing w:after="0" w:line="240" w:lineRule="auto"/>
      <w:ind w:left="23"/>
      <w:outlineLvl w:val="0"/>
    </w:pPr>
    <w:rPr>
      <w:rFonts w:eastAsia="Times New Roman" w:cs="Times New Roman"/>
      <w:b/>
      <w:bCs/>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5A6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6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6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6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6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6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6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47A"/>
    <w:rPr>
      <w:rFonts w:ascii="Times New Roman" w:eastAsia="Times New Roman" w:hAnsi="Times New Roman" w:cs="Times New Roman"/>
      <w:b/>
      <w:bCs/>
      <w:kern w:val="0"/>
      <w:sz w:val="24"/>
      <w:szCs w:val="24"/>
      <w:lang w:val="en-GB"/>
      <w14:ligatures w14:val="none"/>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5A6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6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6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6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6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6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647A"/>
    <w:rPr>
      <w:rFonts w:eastAsiaTheme="majorEastAsia" w:cstheme="majorBidi"/>
      <w:color w:val="272727" w:themeColor="text1" w:themeTint="D8"/>
    </w:rPr>
  </w:style>
  <w:style w:type="paragraph" w:styleId="Title">
    <w:name w:val="Title"/>
    <w:basedOn w:val="Normal"/>
    <w:next w:val="Normal"/>
    <w:link w:val="TitleChar"/>
    <w:uiPriority w:val="10"/>
    <w:qFormat/>
    <w:rsid w:val="005A6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647A"/>
    <w:pPr>
      <w:spacing w:before="160"/>
      <w:jc w:val="center"/>
    </w:pPr>
    <w:rPr>
      <w:i/>
      <w:iCs/>
      <w:color w:val="404040" w:themeColor="text1" w:themeTint="BF"/>
    </w:rPr>
  </w:style>
  <w:style w:type="character" w:customStyle="1" w:styleId="QuoteChar">
    <w:name w:val="Quote Char"/>
    <w:basedOn w:val="DefaultParagraphFont"/>
    <w:link w:val="Quote"/>
    <w:uiPriority w:val="29"/>
    <w:rsid w:val="005A647A"/>
    <w:rPr>
      <w:i/>
      <w:iCs/>
      <w:color w:val="404040" w:themeColor="text1" w:themeTint="BF"/>
    </w:rPr>
  </w:style>
  <w:style w:type="paragraph" w:styleId="ListParagraph">
    <w:name w:val="List Paragraph"/>
    <w:basedOn w:val="Normal"/>
    <w:uiPriority w:val="34"/>
    <w:qFormat/>
    <w:rsid w:val="005A647A"/>
    <w:pPr>
      <w:ind w:left="720"/>
      <w:contextualSpacing/>
    </w:pPr>
  </w:style>
  <w:style w:type="character" w:styleId="IntenseEmphasis">
    <w:name w:val="Intense Emphasis"/>
    <w:basedOn w:val="DefaultParagraphFont"/>
    <w:uiPriority w:val="21"/>
    <w:qFormat/>
    <w:rsid w:val="005A647A"/>
    <w:rPr>
      <w:i/>
      <w:iCs/>
      <w:color w:val="2F5496" w:themeColor="accent1" w:themeShade="BF"/>
    </w:rPr>
  </w:style>
  <w:style w:type="paragraph" w:styleId="IntenseQuote">
    <w:name w:val="Intense Quote"/>
    <w:basedOn w:val="Normal"/>
    <w:next w:val="Normal"/>
    <w:link w:val="IntenseQuoteChar"/>
    <w:uiPriority w:val="30"/>
    <w:qFormat/>
    <w:rsid w:val="005A6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647A"/>
    <w:rPr>
      <w:i/>
      <w:iCs/>
      <w:color w:val="2F5496" w:themeColor="accent1" w:themeShade="BF"/>
    </w:rPr>
  </w:style>
  <w:style w:type="character" w:styleId="IntenseReference">
    <w:name w:val="Intense Reference"/>
    <w:basedOn w:val="DefaultParagraphFont"/>
    <w:uiPriority w:val="32"/>
    <w:qFormat/>
    <w:rsid w:val="005A647A"/>
    <w:rPr>
      <w:b/>
      <w:bCs/>
      <w:smallCaps/>
      <w:color w:val="2F5496" w:themeColor="accent1" w:themeShade="BF"/>
      <w:spacing w:val="5"/>
    </w:rPr>
  </w:style>
  <w:style w:type="paragraph" w:styleId="Header">
    <w:name w:val="header"/>
    <w:basedOn w:val="Normal"/>
    <w:link w:val="HeaderChar"/>
    <w:uiPriority w:val="99"/>
    <w:unhideWhenUsed/>
    <w:rsid w:val="005A647A"/>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5A647A"/>
    <w:rPr>
      <w:kern w:val="0"/>
      <w14:ligatures w14:val="none"/>
    </w:rPr>
  </w:style>
  <w:style w:type="paragraph" w:styleId="Footer">
    <w:name w:val="footer"/>
    <w:basedOn w:val="Normal"/>
    <w:link w:val="FooterChar"/>
    <w:uiPriority w:val="99"/>
    <w:unhideWhenUsed/>
    <w:rsid w:val="005A647A"/>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5A647A"/>
    <w:rPr>
      <w:kern w:val="0"/>
      <w14:ligatures w14:val="none"/>
    </w:rPr>
  </w:style>
  <w:style w:type="character" w:styleId="Strong">
    <w:name w:val="Strong"/>
    <w:basedOn w:val="DefaultParagraphFont"/>
    <w:uiPriority w:val="22"/>
    <w:qFormat/>
    <w:rsid w:val="005A647A"/>
    <w:rPr>
      <w:b/>
      <w:bCs/>
    </w:rPr>
  </w:style>
  <w:style w:type="paragraph" w:styleId="NormalWeb">
    <w:name w:val="Normal (Web)"/>
    <w:basedOn w:val="Normal"/>
    <w:uiPriority w:val="99"/>
    <w:unhideWhenUsed/>
    <w:rsid w:val="005A647A"/>
    <w:pPr>
      <w:spacing w:before="100" w:beforeAutospacing="1" w:after="100" w:afterAutospacing="1" w:line="240" w:lineRule="auto"/>
      <w:jc w:val="left"/>
    </w:pPr>
    <w:rPr>
      <w:rFonts w:eastAsia="Times New Roman" w:cs="Times New Roman"/>
      <w:szCs w:val="24"/>
      <w:lang w:val="en-US"/>
    </w:rPr>
  </w:style>
  <w:style w:type="table" w:styleId="TableGrid">
    <w:name w:val="Table Grid"/>
    <w:basedOn w:val="TableNormal"/>
    <w:uiPriority w:val="59"/>
    <w:rsid w:val="005A64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A64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4630</Words>
  <Characters>26394</Characters>
  <Application>Microsoft Office Word</Application>
  <DocSecurity>0</DocSecurity>
  <Lines>219</Lines>
  <Paragraphs>61</Paragraphs>
  <ScaleCrop>false</ScaleCrop>
  <Company/>
  <LinksUpToDate>false</LinksUpToDate>
  <CharactersWithSpaces>30963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2025-11-15T17:25:00Z</dcterms:created>
  <dcterms:modified xsi:type="dcterms:W3CDTF">2025-11-15T17:41:00Z</dcterms:modified>
</cp:coreProperties>
</file>