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804" w:rsidRPr="001278DB" w:rsidRDefault="00F14804" w:rsidP="00F14804">
      <w:pPr>
        <w:spacing w:line="240" w:lineRule="auto"/>
        <w:rPr>
          <w:rFonts w:cs="Times New Roman"/>
          <w:b/>
          <w:bCs/>
          <w:szCs w:val="24"/>
        </w:rPr>
      </w:pPr>
      <w:r>
        <w:rPr>
          <w:rFonts w:cs="Times New Roman"/>
          <w:b/>
          <w:bCs/>
          <w:szCs w:val="24"/>
        </w:rPr>
        <w:t>EXAMINING THE LINK B</w:t>
      </w:r>
      <w:r w:rsidRPr="000A5391">
        <w:rPr>
          <w:rFonts w:cs="Times New Roman"/>
          <w:b/>
          <w:bCs/>
          <w:szCs w:val="24"/>
        </w:rPr>
        <w:t xml:space="preserve">ETWEEN JOB AUTONOMY AND </w:t>
      </w:r>
      <w:r>
        <w:rPr>
          <w:rFonts w:cs="Times New Roman"/>
          <w:b/>
          <w:bCs/>
          <w:szCs w:val="24"/>
        </w:rPr>
        <w:t xml:space="preserve">EMPLOYEE </w:t>
      </w:r>
      <w:r w:rsidRPr="000A5391">
        <w:rPr>
          <w:rFonts w:cs="Times New Roman"/>
          <w:b/>
          <w:bCs/>
          <w:szCs w:val="24"/>
        </w:rPr>
        <w:t xml:space="preserve">JOB </w:t>
      </w:r>
      <w:r>
        <w:rPr>
          <w:rFonts w:cs="Times New Roman"/>
          <w:b/>
          <w:bCs/>
          <w:szCs w:val="24"/>
        </w:rPr>
        <w:t xml:space="preserve">SATISFACTION AT THE </w:t>
      </w:r>
      <w:r w:rsidRPr="000A5391">
        <w:rPr>
          <w:rFonts w:cs="Times New Roman"/>
          <w:b/>
          <w:bCs/>
          <w:szCs w:val="24"/>
        </w:rPr>
        <w:t>FEDERAL INLAND REVENUE SERVICE (FIRS)</w:t>
      </w:r>
      <w:r w:rsidRPr="002016C2">
        <w:rPr>
          <w:b/>
          <w:bCs/>
          <w:szCs w:val="24"/>
        </w:rPr>
        <w:t xml:space="preserve">                                       </w:t>
      </w:r>
    </w:p>
    <w:p w:rsidR="00F14804" w:rsidRPr="002016C2" w:rsidRDefault="00F14804" w:rsidP="00F14804">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r>
      <w:r>
        <w:rPr>
          <w:szCs w:val="24"/>
        </w:rPr>
        <w:tab/>
      </w:r>
      <w:r>
        <w:rPr>
          <w:szCs w:val="24"/>
        </w:rPr>
        <w:t>MOBOLADE</w:t>
      </w:r>
      <w:r>
        <w:rPr>
          <w:szCs w:val="24"/>
        </w:rPr>
        <w:t xml:space="preserve"> </w:t>
      </w:r>
      <w:r>
        <w:rPr>
          <w:szCs w:val="24"/>
        </w:rPr>
        <w:t>Olakunle Gideon</w:t>
      </w:r>
    </w:p>
    <w:p w:rsidR="00F14804" w:rsidRPr="00F14804" w:rsidRDefault="00F14804" w:rsidP="00F14804">
      <w:pPr>
        <w:spacing w:after="0" w:line="240" w:lineRule="auto"/>
        <w:rPr>
          <w:i/>
          <w:iCs/>
          <w:sz w:val="22"/>
          <w:lang w:val="en-US"/>
        </w:rPr>
      </w:pPr>
      <w:r w:rsidRPr="002016C2">
        <w:rPr>
          <w:b/>
          <w:szCs w:val="24"/>
        </w:rPr>
        <w:t xml:space="preserve">Abstract: </w:t>
      </w:r>
      <w:r w:rsidRPr="00F14804">
        <w:rPr>
          <w:rFonts w:cs="Times New Roman"/>
          <w:i/>
          <w:iCs/>
          <w:sz w:val="22"/>
        </w:rPr>
        <w:t>Organizations struggle to balance structure and flexibility, affecting how autonomy influences job satisfaction. Although autonomy can enhance motivation, its impact depends on support and feedback, which are often overlooked in structured, hierarchical settings. This study examined the relationship between job autonomy and employee job satisfaction at the Federal Inland Revenue Service (FIRS) in Lagos, Nigeria. A survey research design was adopted, targeting 180 employees selected through stratified and simple random sampling to ensure fair representation across staff categories. Data were collected through a structured questionnaire, with 150 valid responses analysed using descriptive statistics and Pearson’s correlation. Findings revealed a moderate but statistically significant positive relationship between job autonomy and job satisfaction (r = 0.541, p = 0.006), implying that employees with greater discretion over their work exhibit higher satisfaction levels. Although autonomy does not solely determine satisfaction, it contributes meaningfully to positive job attitudes. It was concluded that increased autonomy enhances employee job satisfaction and motivation. It was further recommended that FIRS and similar organizations review their job structures to safely expand decision-making freedom, provide clear expectations and feedback, and maintain supportive work conditions that allow employees to utilize autonomy effectively for improved organizational outcomes.</w:t>
      </w:r>
    </w:p>
    <w:p w:rsidR="00F14804" w:rsidRDefault="00F14804" w:rsidP="00F14804">
      <w:pPr>
        <w:spacing w:after="0" w:line="240" w:lineRule="auto"/>
        <w:rPr>
          <w:b/>
          <w:lang w:val="en-US"/>
        </w:rPr>
      </w:pPr>
      <w:r w:rsidRPr="005030D3">
        <w:rPr>
          <w:rFonts w:cs="Times New Roman"/>
          <w:b/>
          <w:bCs/>
          <w:szCs w:val="24"/>
        </w:rPr>
        <w:t>Keywords:</w:t>
      </w:r>
      <w:r>
        <w:rPr>
          <w:rFonts w:cs="Times New Roman"/>
          <w:szCs w:val="24"/>
        </w:rPr>
        <w:t xml:space="preserve"> </w:t>
      </w:r>
      <w:r w:rsidRPr="00F14804">
        <w:rPr>
          <w:rFonts w:cs="Times New Roman"/>
          <w:sz w:val="22"/>
        </w:rPr>
        <w:t>Job Autonomy, Employee Job Satisfaction, Federal Inland Revenue Service (FIRS), Job Design, Organizational Effectiveness</w:t>
      </w:r>
    </w:p>
    <w:p w:rsidR="00F14804" w:rsidRPr="002016C2" w:rsidRDefault="00F14804" w:rsidP="00F14804">
      <w:pPr>
        <w:pStyle w:val="NormalWeb"/>
        <w:shd w:val="clear" w:color="auto" w:fill="FFFFFF"/>
        <w:spacing w:before="0" w:beforeAutospacing="0" w:after="0" w:afterAutospacing="0"/>
        <w:jc w:val="both"/>
        <w:rPr>
          <w:b/>
          <w:lang w:val="en-US"/>
        </w:rPr>
      </w:pPr>
      <w:r w:rsidRPr="002016C2">
        <w:rPr>
          <w:b/>
          <w:lang w:val="en-US"/>
        </w:rPr>
        <w:t xml:space="preserve">Introduction </w:t>
      </w:r>
    </w:p>
    <w:p w:rsidR="00F14804" w:rsidRPr="000A1B94" w:rsidRDefault="00F14804" w:rsidP="00F14804">
      <w:pPr>
        <w:spacing w:line="240" w:lineRule="auto"/>
        <w:rPr>
          <w:rFonts w:cs="Times New Roman"/>
          <w:szCs w:val="24"/>
        </w:rPr>
      </w:pPr>
      <w:r w:rsidRPr="000A1B94">
        <w:rPr>
          <w:rFonts w:cs="Times New Roman"/>
          <w:szCs w:val="24"/>
        </w:rPr>
        <w:t xml:space="preserve">Job autonomy refers to the extent to which employees have discretion, freedom, and independence in scheduling their work and determining the procedures used to carry it out. It is a core psychological job characteristic that enhances employees’ sense of control, responsibility, and ownership of their tasks, thereby influencing their motivation and satisfaction levels. Empirical evidence demonstrates that higher levels of job autonomy are positively associated with job satisfaction because autonomy </w:t>
      </w:r>
      <w:proofErr w:type="spellStart"/>
      <w:r w:rsidRPr="000A1B94">
        <w:rPr>
          <w:rFonts w:cs="Times New Roman"/>
          <w:szCs w:val="24"/>
        </w:rPr>
        <w:t>fulfills</w:t>
      </w:r>
      <w:proofErr w:type="spellEnd"/>
      <w:r w:rsidRPr="000A1B94">
        <w:rPr>
          <w:rFonts w:cs="Times New Roman"/>
          <w:szCs w:val="24"/>
        </w:rPr>
        <w:t xml:space="preserve"> employees’ psychological needs for competence and self-direction (Gillet et al., 2013; Jong, 2016). However, autonomy alone may not guarantee satisfaction unless employees possess or are supported by key organizational resources that enable them to manage that freedom effectively.</w:t>
      </w:r>
    </w:p>
    <w:p w:rsidR="00F14804" w:rsidRPr="006C090D" w:rsidRDefault="00F14804" w:rsidP="00F14804">
      <w:pPr>
        <w:spacing w:line="240" w:lineRule="auto"/>
        <w:rPr>
          <w:rFonts w:cs="Times New Roman"/>
          <w:szCs w:val="24"/>
        </w:rPr>
      </w:pPr>
      <w:r w:rsidRPr="000A1B94">
        <w:rPr>
          <w:rFonts w:cs="Times New Roman"/>
          <w:szCs w:val="24"/>
        </w:rPr>
        <w:t>First, supervisor support enhances the benefits of autonomy by providing feedback, clarity, and social reassurance, reducing ambiguity and stress (</w:t>
      </w:r>
      <w:proofErr w:type="spellStart"/>
      <w:r w:rsidRPr="000A1B94">
        <w:rPr>
          <w:rFonts w:cs="Times New Roman"/>
          <w:szCs w:val="24"/>
        </w:rPr>
        <w:t>Dysvik</w:t>
      </w:r>
      <w:proofErr w:type="spellEnd"/>
      <w:r w:rsidRPr="000A1B94">
        <w:rPr>
          <w:rFonts w:cs="Times New Roman"/>
          <w:szCs w:val="24"/>
        </w:rPr>
        <w:t xml:space="preserve"> &amp; </w:t>
      </w:r>
      <w:proofErr w:type="spellStart"/>
      <w:r w:rsidRPr="000A1B94">
        <w:rPr>
          <w:rFonts w:cs="Times New Roman"/>
          <w:szCs w:val="24"/>
        </w:rPr>
        <w:t>Kuvaas</w:t>
      </w:r>
      <w:proofErr w:type="spellEnd"/>
      <w:r w:rsidRPr="000A1B94">
        <w:rPr>
          <w:rFonts w:cs="Times New Roman"/>
          <w:szCs w:val="24"/>
        </w:rPr>
        <w:t xml:space="preserve">, 2013; </w:t>
      </w:r>
      <w:proofErr w:type="spellStart"/>
      <w:r w:rsidRPr="000A1B94">
        <w:rPr>
          <w:rFonts w:cs="Times New Roman"/>
          <w:szCs w:val="24"/>
        </w:rPr>
        <w:t>Orgambídez</w:t>
      </w:r>
      <w:proofErr w:type="spellEnd"/>
      <w:r w:rsidRPr="000A1B94">
        <w:rPr>
          <w:rFonts w:cs="Times New Roman"/>
          <w:szCs w:val="24"/>
        </w:rPr>
        <w:t xml:space="preserve"> &amp; Almeida, 2020). Second, competence development opportunities such as training and upskilling enable employees to utilize their autonomy productively, reinforcing their sense of mastery and satisfaction (</w:t>
      </w:r>
      <w:proofErr w:type="spellStart"/>
      <w:r w:rsidRPr="000A1B94">
        <w:rPr>
          <w:rFonts w:cs="Times New Roman"/>
          <w:szCs w:val="24"/>
        </w:rPr>
        <w:t>Sangkala</w:t>
      </w:r>
      <w:proofErr w:type="spellEnd"/>
      <w:r w:rsidRPr="000A1B94">
        <w:rPr>
          <w:rFonts w:cs="Times New Roman"/>
          <w:szCs w:val="24"/>
        </w:rPr>
        <w:t>, Ahmed, &amp; Pahi, 2016). Third, role clarity ensures that employees clearly understand their responsibilities and performance expectations, preventing confusion that could otherwise neutralize the positive effects of autonomy (</w:t>
      </w:r>
      <w:proofErr w:type="spellStart"/>
      <w:r w:rsidRPr="000A1B94">
        <w:rPr>
          <w:rFonts w:cs="Times New Roman"/>
          <w:szCs w:val="24"/>
        </w:rPr>
        <w:t>Brandmo</w:t>
      </w:r>
      <w:proofErr w:type="spellEnd"/>
      <w:r w:rsidRPr="000A1B94">
        <w:rPr>
          <w:rFonts w:cs="Times New Roman"/>
          <w:szCs w:val="24"/>
        </w:rPr>
        <w:t xml:space="preserve">, </w:t>
      </w:r>
      <w:proofErr w:type="spellStart"/>
      <w:r w:rsidRPr="000A1B94">
        <w:rPr>
          <w:rFonts w:cs="Times New Roman"/>
          <w:szCs w:val="24"/>
        </w:rPr>
        <w:t>Tiplic</w:t>
      </w:r>
      <w:proofErr w:type="spellEnd"/>
      <w:r w:rsidRPr="000A1B94">
        <w:rPr>
          <w:rFonts w:cs="Times New Roman"/>
          <w:szCs w:val="24"/>
        </w:rPr>
        <w:t>, &amp; Elstad, 2021; Abraham, Erickson, &amp; Sata, 2022)</w:t>
      </w:r>
      <w:r w:rsidRPr="006C090D">
        <w:rPr>
          <w:rFonts w:cs="Times New Roman"/>
          <w:szCs w:val="24"/>
        </w:rPr>
        <w:t>.</w:t>
      </w:r>
    </w:p>
    <w:p w:rsidR="00F14804" w:rsidRPr="006C090D" w:rsidRDefault="00F14804" w:rsidP="00F14804">
      <w:pPr>
        <w:spacing w:line="240" w:lineRule="auto"/>
        <w:rPr>
          <w:rFonts w:cs="Times New Roman"/>
          <w:szCs w:val="24"/>
        </w:rPr>
      </w:pPr>
      <w:r w:rsidRPr="007814F9">
        <w:rPr>
          <w:rFonts w:cs="Times New Roman"/>
          <w:szCs w:val="24"/>
        </w:rPr>
        <w:t xml:space="preserve">Organizations struggle to balance standardization and flexibility in job design, affecting how job autonomy influences employee satisfaction. Although autonomy generally enhances satisfaction, this effect depends on enabling resources such as supervisor support, feedback, and opportunities for competence development, which help employees manage autonomy productively (Kusik, Tokarz, &amp; </w:t>
      </w:r>
      <w:proofErr w:type="spellStart"/>
      <w:r w:rsidRPr="007814F9">
        <w:rPr>
          <w:rFonts w:cs="Times New Roman"/>
          <w:szCs w:val="24"/>
        </w:rPr>
        <w:t>Garlak</w:t>
      </w:r>
      <w:proofErr w:type="spellEnd"/>
      <w:r w:rsidRPr="007814F9">
        <w:rPr>
          <w:rFonts w:cs="Times New Roman"/>
          <w:szCs w:val="24"/>
        </w:rPr>
        <w:t xml:space="preserve">, 2024; McAnally &amp; Hagger, 2024). Drawing on Self-Determination Theory (SDT), research shows that satisfaction rises when autonomy supports intrinsic needs for competence and relatedness (Guo &amp; Chelliah, 2024), yet many studies neglect contextual </w:t>
      </w:r>
      <w:r w:rsidRPr="007814F9">
        <w:rPr>
          <w:rFonts w:cs="Times New Roman"/>
          <w:szCs w:val="24"/>
        </w:rPr>
        <w:lastRenderedPageBreak/>
        <w:t>moderators like organizational support and work meaningfulness (</w:t>
      </w:r>
      <w:proofErr w:type="spellStart"/>
      <w:r w:rsidRPr="00DB74CE">
        <w:rPr>
          <w:rFonts w:cs="Times New Roman"/>
          <w:szCs w:val="24"/>
        </w:rPr>
        <w:t>Wandycz</w:t>
      </w:r>
      <w:proofErr w:type="spellEnd"/>
      <w:r w:rsidRPr="00DB74CE">
        <w:rPr>
          <w:rFonts w:cs="Times New Roman"/>
          <w:szCs w:val="24"/>
        </w:rPr>
        <w:t>, Roldán, &amp; López-Cabrales</w:t>
      </w:r>
      <w:r w:rsidRPr="007814F9">
        <w:rPr>
          <w:rFonts w:cs="Times New Roman"/>
          <w:szCs w:val="24"/>
        </w:rPr>
        <w:t>, 2024). Methodologically, most employ cross-sectional designs that reveal associations but limit causal understanding, particularly in hierarchical public institutions where autonomy is constrained (Bradfield, 2024). Consequently, a gap remains in examining how organizational resources, supervisory practices, and contextual factors shape the autonomy–satisfaction relationship in the public sector, especially within bureaucratic contexts such as the Federal Inland Revenue Service (FIRS).</w:t>
      </w:r>
      <w:r w:rsidRPr="006C090D">
        <w:rPr>
          <w:rFonts w:cs="Times New Roman"/>
          <w:szCs w:val="24"/>
        </w:rPr>
        <w:t xml:space="preserve"> To address this task, this study examines the relationship between job autonomy and job satisfaction. This study is guided by the following hypothesis:</w:t>
      </w:r>
    </w:p>
    <w:p w:rsidR="00F14804" w:rsidRPr="00F00DB9" w:rsidRDefault="00F14804" w:rsidP="00F14804">
      <w:pPr>
        <w:spacing w:line="240" w:lineRule="auto"/>
        <w:rPr>
          <w:szCs w:val="24"/>
        </w:rPr>
      </w:pPr>
      <w:r w:rsidRPr="006C090D">
        <w:rPr>
          <w:szCs w:val="24"/>
        </w:rPr>
        <w:t>H0: There is no significant relationship between job autonomy and job satisfaction.</w:t>
      </w:r>
    </w:p>
    <w:p w:rsidR="00F14804" w:rsidRDefault="00F14804" w:rsidP="00F14804">
      <w:pPr>
        <w:pStyle w:val="ListParagraph"/>
        <w:numPr>
          <w:ilvl w:val="0"/>
          <w:numId w:val="1"/>
        </w:numPr>
        <w:spacing w:line="240" w:lineRule="auto"/>
        <w:rPr>
          <w:rFonts w:cs="Times New Roman"/>
          <w:b/>
          <w:bCs/>
          <w:szCs w:val="24"/>
        </w:rPr>
      </w:pPr>
      <w:r>
        <w:rPr>
          <w:rFonts w:cs="Times New Roman"/>
          <w:b/>
          <w:bCs/>
          <w:szCs w:val="24"/>
        </w:rPr>
        <w:t>Literature Review</w:t>
      </w:r>
    </w:p>
    <w:p w:rsidR="00F14804" w:rsidRPr="000F00DB" w:rsidRDefault="00F14804" w:rsidP="00F14804">
      <w:pPr>
        <w:pStyle w:val="ListParagraph"/>
        <w:numPr>
          <w:ilvl w:val="1"/>
          <w:numId w:val="1"/>
        </w:numPr>
        <w:spacing w:line="240" w:lineRule="auto"/>
        <w:rPr>
          <w:rFonts w:cs="Times New Roman"/>
          <w:b/>
          <w:bCs/>
          <w:szCs w:val="24"/>
        </w:rPr>
      </w:pPr>
      <w:r w:rsidRPr="00C6194D">
        <w:rPr>
          <w:rFonts w:cs="Times New Roman"/>
          <w:b/>
          <w:bCs/>
          <w:szCs w:val="24"/>
        </w:rPr>
        <w:t>Job Autonomy within Structured Work Systems</w:t>
      </w:r>
    </w:p>
    <w:p w:rsidR="00F14804" w:rsidRDefault="00F14804" w:rsidP="00F14804">
      <w:pPr>
        <w:spacing w:line="240" w:lineRule="auto"/>
        <w:rPr>
          <w:rFonts w:cs="Times New Roman"/>
          <w:szCs w:val="24"/>
        </w:rPr>
      </w:pPr>
      <w:r w:rsidRPr="00FE5FE3">
        <w:rPr>
          <w:rFonts w:cs="Times New Roman"/>
          <w:szCs w:val="24"/>
        </w:rPr>
        <w:t>Job autonomy refers to the degree of freedom employees have to organize their work, make decisions, and determine how tasks are completed. It reflects how much control they hold over scheduling, methods, and priorities</w:t>
      </w:r>
      <w:r>
        <w:rPr>
          <w:rFonts w:cs="Times New Roman"/>
          <w:szCs w:val="24"/>
        </w:rPr>
        <w:t xml:space="preserve"> – </w:t>
      </w:r>
      <w:r w:rsidRPr="00FE5FE3">
        <w:rPr>
          <w:rFonts w:cs="Times New Roman"/>
          <w:szCs w:val="24"/>
        </w:rPr>
        <w:t xml:space="preserve">supporting self-management and intrinsic motivation (De </w:t>
      </w:r>
      <w:proofErr w:type="spellStart"/>
      <w:r w:rsidRPr="00FE5FE3">
        <w:rPr>
          <w:rFonts w:cs="Times New Roman"/>
          <w:szCs w:val="24"/>
        </w:rPr>
        <w:t>Spiegelaere</w:t>
      </w:r>
      <w:proofErr w:type="spellEnd"/>
      <w:r w:rsidRPr="00FE5FE3">
        <w:rPr>
          <w:rFonts w:cs="Times New Roman"/>
          <w:szCs w:val="24"/>
        </w:rPr>
        <w:t xml:space="preserve">, Van </w:t>
      </w:r>
      <w:proofErr w:type="spellStart"/>
      <w:r w:rsidRPr="00FE5FE3">
        <w:rPr>
          <w:rFonts w:cs="Times New Roman"/>
          <w:szCs w:val="24"/>
        </w:rPr>
        <w:t>Gyes</w:t>
      </w:r>
      <w:proofErr w:type="spellEnd"/>
      <w:r w:rsidRPr="00FE5FE3">
        <w:rPr>
          <w:rFonts w:cs="Times New Roman"/>
          <w:szCs w:val="24"/>
        </w:rPr>
        <w:t xml:space="preserve">, &amp; Van </w:t>
      </w:r>
      <w:proofErr w:type="spellStart"/>
      <w:r w:rsidRPr="00FE5FE3">
        <w:rPr>
          <w:rFonts w:cs="Times New Roman"/>
          <w:szCs w:val="24"/>
        </w:rPr>
        <w:t>Hootegem</w:t>
      </w:r>
      <w:proofErr w:type="spellEnd"/>
      <w:r w:rsidRPr="00FE5FE3">
        <w:rPr>
          <w:rFonts w:cs="Times New Roman"/>
          <w:szCs w:val="24"/>
        </w:rPr>
        <w:t xml:space="preserve">, 2016; Khoshnaw &amp; Alavi, 2020). Autonomy exists when employees can choose how to perform their tasks, set activity sequences, and manage their time within defined limits (Liao, Wang, &amp; Zhang, 2021; Kalluri, 2023). </w:t>
      </w:r>
      <w:r w:rsidRPr="00B436E7">
        <w:rPr>
          <w:rFonts w:cs="Times New Roman"/>
          <w:szCs w:val="24"/>
        </w:rPr>
        <w:t>However, when clear expectations, defined roles, and access to key resources</w:t>
      </w:r>
      <w:r>
        <w:rPr>
          <w:rFonts w:cs="Times New Roman"/>
          <w:szCs w:val="24"/>
        </w:rPr>
        <w:t xml:space="preserve">, </w:t>
      </w:r>
      <w:r w:rsidRPr="00B436E7">
        <w:rPr>
          <w:rFonts w:cs="Times New Roman"/>
          <w:szCs w:val="24"/>
        </w:rPr>
        <w:t>such as supervisor support, feedback, and opportunities for skill development</w:t>
      </w:r>
      <w:r>
        <w:rPr>
          <w:rFonts w:cs="Times New Roman"/>
          <w:szCs w:val="24"/>
        </w:rPr>
        <w:t xml:space="preserve">, </w:t>
      </w:r>
      <w:r w:rsidRPr="00B436E7">
        <w:rPr>
          <w:rFonts w:cs="Times New Roman"/>
          <w:szCs w:val="24"/>
        </w:rPr>
        <w:t>are lacking, autonomy can lead to confusion and inconsistent outcomes (Zhang &amp; He, 2022).</w:t>
      </w:r>
    </w:p>
    <w:p w:rsidR="00F14804" w:rsidRDefault="00F14804" w:rsidP="00F14804">
      <w:pPr>
        <w:spacing w:line="240" w:lineRule="auto"/>
        <w:rPr>
          <w:rFonts w:cs="Times New Roman"/>
          <w:szCs w:val="24"/>
        </w:rPr>
      </w:pPr>
      <w:r w:rsidRPr="00FE5FE3">
        <w:rPr>
          <w:rFonts w:cs="Times New Roman"/>
          <w:szCs w:val="24"/>
        </w:rPr>
        <w:t xml:space="preserve">While </w:t>
      </w:r>
      <w:r>
        <w:rPr>
          <w:rFonts w:cs="Times New Roman"/>
          <w:szCs w:val="24"/>
        </w:rPr>
        <w:t xml:space="preserve">job autonomy is </w:t>
      </w:r>
      <w:r w:rsidRPr="00FE5FE3">
        <w:rPr>
          <w:rFonts w:cs="Times New Roman"/>
          <w:szCs w:val="24"/>
        </w:rPr>
        <w:t>rooted in job design theory, autonomy focuses on the individual’s discretion within structured roles. Job design establishes how tasks are distributed and coordinated, whereas autonomy defines how much independence an employee has within that structure (Parker, Van den Broeck, &amp; Holman, 2017). The link between the two lies in standardization</w:t>
      </w:r>
      <w:r>
        <w:rPr>
          <w:rFonts w:cs="Times New Roman"/>
          <w:szCs w:val="24"/>
        </w:rPr>
        <w:t xml:space="preserve"> – </w:t>
      </w:r>
      <w:r w:rsidRPr="00FE5FE3">
        <w:rPr>
          <w:rFonts w:cs="Times New Roman"/>
          <w:szCs w:val="24"/>
        </w:rPr>
        <w:t xml:space="preserve">organizational rules and procedures that either limit or enable independent decision-making (Daniels et al., 2017; </w:t>
      </w:r>
      <w:proofErr w:type="spellStart"/>
      <w:r w:rsidRPr="00FE5FE3">
        <w:rPr>
          <w:rFonts w:cs="Times New Roman"/>
          <w:szCs w:val="24"/>
        </w:rPr>
        <w:t>Winkelhaus</w:t>
      </w:r>
      <w:proofErr w:type="spellEnd"/>
      <w:r>
        <w:rPr>
          <w:rFonts w:cs="Times New Roman"/>
          <w:szCs w:val="24"/>
        </w:rPr>
        <w:t xml:space="preserve">, </w:t>
      </w:r>
      <w:r w:rsidRPr="00FE5FE3">
        <w:rPr>
          <w:rFonts w:cs="Times New Roman"/>
          <w:szCs w:val="24"/>
        </w:rPr>
        <w:t>Grosse,</w:t>
      </w:r>
      <w:r>
        <w:rPr>
          <w:rFonts w:cs="Times New Roman"/>
          <w:szCs w:val="24"/>
        </w:rPr>
        <w:t xml:space="preserve"> &amp; Glock,</w:t>
      </w:r>
      <w:r w:rsidRPr="00FE5FE3">
        <w:rPr>
          <w:rFonts w:cs="Times New Roman"/>
          <w:szCs w:val="24"/>
        </w:rPr>
        <w:t xml:space="preserve"> 2022). Too much standardization can suppress autonomy, while flexible systems foster control, satisfaction, and engagement (Fastina, Banu, &amp; </w:t>
      </w:r>
      <w:proofErr w:type="spellStart"/>
      <w:r w:rsidRPr="00FE5FE3">
        <w:rPr>
          <w:rFonts w:cs="Times New Roman"/>
          <w:szCs w:val="24"/>
        </w:rPr>
        <w:t>Jayakani</w:t>
      </w:r>
      <w:proofErr w:type="spellEnd"/>
      <w:r w:rsidRPr="00FE5FE3">
        <w:rPr>
          <w:rFonts w:cs="Times New Roman"/>
          <w:szCs w:val="24"/>
        </w:rPr>
        <w:t>, 2024). Studies show that autonomy enhances job satisfaction when paired with clear guidance and consistent processes. Yucel (2019) found that flexibility in scheduling improves satisfaction and reduces work–family conflict, especially when feedback mechanisms are strong. Similarly, in fast-changing environments, autonomy helps employees adjust to shifting demands as long as goals and standards remain clear (</w:t>
      </w:r>
      <w:proofErr w:type="spellStart"/>
      <w:r w:rsidRPr="00FE5FE3">
        <w:rPr>
          <w:rFonts w:cs="Times New Roman"/>
          <w:szCs w:val="24"/>
        </w:rPr>
        <w:t>Pursio</w:t>
      </w:r>
      <w:proofErr w:type="spellEnd"/>
      <w:r w:rsidRPr="00FE5FE3">
        <w:rPr>
          <w:rFonts w:cs="Times New Roman"/>
          <w:szCs w:val="24"/>
        </w:rPr>
        <w:t>, Kankkunen, Sanner‐Stiehr, &amp; Kvist, 2021; Escudero-Guirado &amp; Fernández-Rodríguez, 2024).</w:t>
      </w:r>
    </w:p>
    <w:p w:rsidR="00F14804" w:rsidRPr="000F00DB" w:rsidRDefault="00F14804" w:rsidP="00F14804">
      <w:pPr>
        <w:pStyle w:val="ListParagraph"/>
        <w:numPr>
          <w:ilvl w:val="1"/>
          <w:numId w:val="1"/>
        </w:numPr>
        <w:spacing w:line="240" w:lineRule="auto"/>
        <w:rPr>
          <w:rFonts w:cs="Times New Roman"/>
          <w:b/>
          <w:bCs/>
          <w:szCs w:val="24"/>
        </w:rPr>
      </w:pPr>
      <w:r w:rsidRPr="000F00DB">
        <w:rPr>
          <w:rFonts w:cs="Times New Roman"/>
          <w:b/>
          <w:bCs/>
          <w:szCs w:val="24"/>
        </w:rPr>
        <w:t>Employee Job Satisfaction and the Influence of Job Autonomy</w:t>
      </w:r>
    </w:p>
    <w:p w:rsidR="00F14804" w:rsidRPr="00502F34" w:rsidRDefault="00F14804" w:rsidP="00F14804">
      <w:pPr>
        <w:spacing w:line="240" w:lineRule="auto"/>
        <w:rPr>
          <w:rFonts w:cs="Times New Roman"/>
          <w:szCs w:val="24"/>
        </w:rPr>
      </w:pPr>
      <w:r w:rsidRPr="00502F34">
        <w:rPr>
          <w:rFonts w:cs="Times New Roman"/>
          <w:szCs w:val="24"/>
        </w:rPr>
        <w:t>Employee job satisfaction is how positive people feel about their work and working conditions, combining emotional reactions and considered opinions about tasks, supervision, rewards and career prospects (</w:t>
      </w:r>
      <w:proofErr w:type="spellStart"/>
      <w:r w:rsidRPr="00502F34">
        <w:rPr>
          <w:rFonts w:cs="Times New Roman"/>
          <w:szCs w:val="24"/>
        </w:rPr>
        <w:t>Sageer</w:t>
      </w:r>
      <w:proofErr w:type="spellEnd"/>
      <w:r w:rsidRPr="00502F34">
        <w:rPr>
          <w:rFonts w:cs="Times New Roman"/>
          <w:szCs w:val="24"/>
        </w:rPr>
        <w:t xml:space="preserve">, Rafat, &amp; Agarwal, 2012; </w:t>
      </w:r>
      <w:proofErr w:type="spellStart"/>
      <w:r w:rsidRPr="00502F34">
        <w:rPr>
          <w:rFonts w:cs="Times New Roman"/>
          <w:szCs w:val="24"/>
        </w:rPr>
        <w:t>Onyebu</w:t>
      </w:r>
      <w:proofErr w:type="spellEnd"/>
      <w:r w:rsidRPr="00502F34">
        <w:rPr>
          <w:rFonts w:cs="Times New Roman"/>
          <w:szCs w:val="24"/>
        </w:rPr>
        <w:t xml:space="preserve"> &amp; Omotayo, 2017). </w:t>
      </w:r>
      <w:proofErr w:type="spellStart"/>
      <w:r w:rsidRPr="00502F34">
        <w:rPr>
          <w:rFonts w:cs="Times New Roman"/>
          <w:szCs w:val="24"/>
        </w:rPr>
        <w:t>Sudiardhita</w:t>
      </w:r>
      <w:proofErr w:type="spellEnd"/>
      <w:r w:rsidRPr="00502F34">
        <w:rPr>
          <w:rFonts w:cs="Times New Roman"/>
          <w:szCs w:val="24"/>
        </w:rPr>
        <w:t xml:space="preserve"> et al.</w:t>
      </w:r>
      <w:r>
        <w:rPr>
          <w:rFonts w:cs="Times New Roman"/>
          <w:szCs w:val="24"/>
        </w:rPr>
        <w:t xml:space="preserve"> (</w:t>
      </w:r>
      <w:r w:rsidRPr="00502F34">
        <w:rPr>
          <w:rFonts w:cs="Times New Roman"/>
          <w:szCs w:val="24"/>
        </w:rPr>
        <w:t>2018</w:t>
      </w:r>
      <w:r>
        <w:rPr>
          <w:rFonts w:cs="Times New Roman"/>
          <w:szCs w:val="24"/>
        </w:rPr>
        <w:t>) explained that w</w:t>
      </w:r>
      <w:r w:rsidRPr="00502F34">
        <w:rPr>
          <w:rFonts w:cs="Times New Roman"/>
          <w:szCs w:val="24"/>
        </w:rPr>
        <w:t>hen jobs offer meaningful tasks, fair treatment, manageable workloads and clear recognition, employees generally report higher satisfaction. Everyday interactions, access to</w:t>
      </w:r>
      <w:r>
        <w:rPr>
          <w:rFonts w:cs="Times New Roman"/>
          <w:szCs w:val="24"/>
        </w:rPr>
        <w:t xml:space="preserve"> </w:t>
      </w:r>
      <w:r w:rsidRPr="00C6194D">
        <w:rPr>
          <w:rFonts w:cs="Times New Roman"/>
          <w:szCs w:val="24"/>
        </w:rPr>
        <w:t>competence development opportunities, supervisor support, role clarity</w:t>
      </w:r>
      <w:r w:rsidRPr="00502F34">
        <w:rPr>
          <w:rFonts w:cs="Times New Roman"/>
          <w:szCs w:val="24"/>
        </w:rPr>
        <w:t>, and the work environment shape these views and influence how employees experience their jobs each day.</w:t>
      </w:r>
    </w:p>
    <w:p w:rsidR="00F14804" w:rsidRPr="00502F34" w:rsidRDefault="00F14804" w:rsidP="00F14804">
      <w:pPr>
        <w:spacing w:line="240" w:lineRule="auto"/>
        <w:rPr>
          <w:rFonts w:cs="Times New Roman"/>
          <w:szCs w:val="24"/>
        </w:rPr>
      </w:pPr>
      <w:r>
        <w:rPr>
          <w:rFonts w:cs="Times New Roman"/>
          <w:szCs w:val="24"/>
        </w:rPr>
        <w:lastRenderedPageBreak/>
        <w:t xml:space="preserve">According to </w:t>
      </w:r>
      <w:proofErr w:type="spellStart"/>
      <w:r w:rsidRPr="00502F34">
        <w:rPr>
          <w:rFonts w:cs="Times New Roman"/>
          <w:szCs w:val="24"/>
        </w:rPr>
        <w:t>Demircioglu</w:t>
      </w:r>
      <w:proofErr w:type="spellEnd"/>
      <w:r>
        <w:rPr>
          <w:rFonts w:cs="Times New Roman"/>
          <w:szCs w:val="24"/>
        </w:rPr>
        <w:t xml:space="preserve"> (</w:t>
      </w:r>
      <w:r w:rsidRPr="00502F34">
        <w:rPr>
          <w:rFonts w:cs="Times New Roman"/>
          <w:szCs w:val="24"/>
        </w:rPr>
        <w:t>2021</w:t>
      </w:r>
      <w:r>
        <w:rPr>
          <w:rFonts w:cs="Times New Roman"/>
          <w:szCs w:val="24"/>
        </w:rPr>
        <w:t>), j</w:t>
      </w:r>
      <w:r w:rsidRPr="00502F34">
        <w:rPr>
          <w:rFonts w:cs="Times New Roman"/>
          <w:szCs w:val="24"/>
        </w:rPr>
        <w:t xml:space="preserve">ob autonomy affects how employees experience control, </w:t>
      </w:r>
      <w:r>
        <w:rPr>
          <w:rFonts w:cs="Times New Roman"/>
          <w:szCs w:val="24"/>
        </w:rPr>
        <w:t xml:space="preserve">discharge </w:t>
      </w:r>
      <w:r w:rsidRPr="00502F34">
        <w:rPr>
          <w:rFonts w:cs="Times New Roman"/>
          <w:szCs w:val="24"/>
        </w:rPr>
        <w:t xml:space="preserve">responsibility and </w:t>
      </w:r>
      <w:r>
        <w:rPr>
          <w:rFonts w:cs="Times New Roman"/>
          <w:szCs w:val="24"/>
        </w:rPr>
        <w:t xml:space="preserve">demonstrate </w:t>
      </w:r>
      <w:r w:rsidRPr="00502F34">
        <w:rPr>
          <w:rFonts w:cs="Times New Roman"/>
          <w:szCs w:val="24"/>
        </w:rPr>
        <w:t xml:space="preserve">competence in their roles. </w:t>
      </w:r>
      <w:proofErr w:type="spellStart"/>
      <w:r w:rsidRPr="00502F34">
        <w:rPr>
          <w:rFonts w:cs="Times New Roman"/>
          <w:szCs w:val="24"/>
        </w:rPr>
        <w:t>Doblinger</w:t>
      </w:r>
      <w:proofErr w:type="spellEnd"/>
      <w:r>
        <w:rPr>
          <w:rFonts w:cs="Times New Roman"/>
          <w:szCs w:val="24"/>
        </w:rPr>
        <w:t xml:space="preserve"> (</w:t>
      </w:r>
      <w:r w:rsidRPr="00502F34">
        <w:rPr>
          <w:rFonts w:cs="Times New Roman"/>
          <w:szCs w:val="24"/>
        </w:rPr>
        <w:t>2023</w:t>
      </w:r>
      <w:r>
        <w:rPr>
          <w:rFonts w:cs="Times New Roman"/>
          <w:szCs w:val="24"/>
        </w:rPr>
        <w:t>) explicated that w</w:t>
      </w:r>
      <w:r w:rsidRPr="00502F34">
        <w:rPr>
          <w:rFonts w:cs="Times New Roman"/>
          <w:szCs w:val="24"/>
        </w:rPr>
        <w:t>hen people can choose methods, set timing and make decisions</w:t>
      </w:r>
      <w:r>
        <w:rPr>
          <w:rFonts w:cs="Times New Roman"/>
          <w:szCs w:val="24"/>
        </w:rPr>
        <w:t>,</w:t>
      </w:r>
      <w:r w:rsidRPr="00502F34">
        <w:rPr>
          <w:rFonts w:cs="Times New Roman"/>
          <w:szCs w:val="24"/>
        </w:rPr>
        <w:t xml:space="preserve"> they can match tasks to their skills and the situation </w:t>
      </w:r>
      <w:r>
        <w:rPr>
          <w:rFonts w:cs="Times New Roman"/>
          <w:szCs w:val="24"/>
        </w:rPr>
        <w:t xml:space="preserve">at hand </w:t>
      </w:r>
      <w:r w:rsidRPr="00502F34">
        <w:rPr>
          <w:rFonts w:cs="Times New Roman"/>
          <w:szCs w:val="24"/>
        </w:rPr>
        <w:t xml:space="preserve">which often increases engagement, ownership and the drive to tackle difficult work. Flexibility that lets workers organise time and ways of working can improve work–life fit and make tasks feel more meaningful (Jena, Bhattacharyya, &amp; Pradhan, 2019; </w:t>
      </w:r>
      <w:proofErr w:type="spellStart"/>
      <w:r w:rsidRPr="00502F34">
        <w:rPr>
          <w:rFonts w:cs="Times New Roman"/>
          <w:szCs w:val="24"/>
        </w:rPr>
        <w:t>Kossek</w:t>
      </w:r>
      <w:proofErr w:type="spellEnd"/>
      <w:r w:rsidRPr="00502F34">
        <w:rPr>
          <w:rFonts w:cs="Times New Roman"/>
          <w:szCs w:val="24"/>
        </w:rPr>
        <w:t xml:space="preserve">, </w:t>
      </w:r>
      <w:proofErr w:type="spellStart"/>
      <w:r w:rsidRPr="00502F34">
        <w:rPr>
          <w:rFonts w:cs="Times New Roman"/>
          <w:szCs w:val="24"/>
        </w:rPr>
        <w:t>Perrigino</w:t>
      </w:r>
      <w:proofErr w:type="spellEnd"/>
      <w:r w:rsidRPr="00502F34">
        <w:rPr>
          <w:rFonts w:cs="Times New Roman"/>
          <w:szCs w:val="24"/>
        </w:rPr>
        <w:t xml:space="preserve">, &amp; </w:t>
      </w:r>
      <w:proofErr w:type="spellStart"/>
      <w:r w:rsidRPr="00502F34">
        <w:rPr>
          <w:rFonts w:cs="Times New Roman"/>
          <w:szCs w:val="24"/>
        </w:rPr>
        <w:t>Lautsch</w:t>
      </w:r>
      <w:proofErr w:type="spellEnd"/>
      <w:r w:rsidRPr="00502F34">
        <w:rPr>
          <w:rFonts w:cs="Times New Roman"/>
          <w:szCs w:val="24"/>
        </w:rPr>
        <w:t xml:space="preserve">, 2023). </w:t>
      </w:r>
      <w:r>
        <w:rPr>
          <w:rFonts w:cs="Times New Roman"/>
          <w:szCs w:val="24"/>
        </w:rPr>
        <w:t>However, a</w:t>
      </w:r>
      <w:r w:rsidRPr="00502F34">
        <w:rPr>
          <w:rFonts w:cs="Times New Roman"/>
          <w:szCs w:val="24"/>
        </w:rPr>
        <w:t>utonomy without clear expectations, timely feedback</w:t>
      </w:r>
      <w:r>
        <w:rPr>
          <w:rFonts w:cs="Times New Roman"/>
          <w:szCs w:val="24"/>
        </w:rPr>
        <w:t xml:space="preserve">, </w:t>
      </w:r>
      <w:r w:rsidRPr="00C6194D">
        <w:rPr>
          <w:rFonts w:cs="Times New Roman"/>
          <w:szCs w:val="24"/>
        </w:rPr>
        <w:t xml:space="preserve">competence development opportunities, </w:t>
      </w:r>
      <w:r>
        <w:rPr>
          <w:rFonts w:cs="Times New Roman"/>
          <w:szCs w:val="24"/>
        </w:rPr>
        <w:t xml:space="preserve">and </w:t>
      </w:r>
      <w:r w:rsidRPr="00C6194D">
        <w:rPr>
          <w:rFonts w:cs="Times New Roman"/>
          <w:szCs w:val="24"/>
        </w:rPr>
        <w:t>supervisor support</w:t>
      </w:r>
      <w:r w:rsidRPr="00502F34">
        <w:rPr>
          <w:rFonts w:cs="Times New Roman"/>
          <w:szCs w:val="24"/>
        </w:rPr>
        <w:t xml:space="preserve"> can cause uncertainty, role overload and inconsistent performance that reduce satisfaction (</w:t>
      </w:r>
      <w:proofErr w:type="spellStart"/>
      <w:r w:rsidRPr="00502F34">
        <w:rPr>
          <w:rFonts w:cs="Times New Roman"/>
          <w:szCs w:val="24"/>
        </w:rPr>
        <w:t>Özkoç</w:t>
      </w:r>
      <w:proofErr w:type="spellEnd"/>
      <w:r w:rsidRPr="00502F34">
        <w:rPr>
          <w:rFonts w:cs="Times New Roman"/>
          <w:szCs w:val="24"/>
        </w:rPr>
        <w:t xml:space="preserve">, 2016; Zhang &amp; He, 2022). The effect of autonomy therefore depends on whether discretion comes with guidance, information and the tools employees need so independence </w:t>
      </w:r>
      <w:r>
        <w:rPr>
          <w:rFonts w:cs="Times New Roman"/>
          <w:szCs w:val="24"/>
        </w:rPr>
        <w:t xml:space="preserve">can </w:t>
      </w:r>
      <w:r w:rsidRPr="00502F34">
        <w:rPr>
          <w:rFonts w:cs="Times New Roman"/>
          <w:szCs w:val="24"/>
        </w:rPr>
        <w:t>lead to positive experiences.</w:t>
      </w:r>
    </w:p>
    <w:p w:rsidR="00F14804" w:rsidRDefault="00F14804" w:rsidP="00F14804">
      <w:pPr>
        <w:spacing w:line="240" w:lineRule="auto"/>
        <w:rPr>
          <w:rFonts w:cs="Times New Roman"/>
          <w:szCs w:val="24"/>
        </w:rPr>
      </w:pPr>
      <w:r w:rsidRPr="007B6E2C">
        <w:rPr>
          <w:rFonts w:cs="Times New Roman"/>
          <w:szCs w:val="24"/>
        </w:rPr>
        <w:t xml:space="preserve">Research on Nigerian public enterprises shows that rigid bureaucracy, centralized decision-making, and weak supervisory support constrain employee autonomy and satisfaction. Public institutions often emphasize procedural compliance over flexibility, limiting engagement and innovation (Haruna &amp; </w:t>
      </w:r>
      <w:proofErr w:type="spellStart"/>
      <w:r w:rsidRPr="007B6E2C">
        <w:rPr>
          <w:rFonts w:cs="Times New Roman"/>
          <w:szCs w:val="24"/>
        </w:rPr>
        <w:t>Pongri</w:t>
      </w:r>
      <w:proofErr w:type="spellEnd"/>
      <w:r w:rsidRPr="007B6E2C">
        <w:rPr>
          <w:rFonts w:cs="Times New Roman"/>
          <w:szCs w:val="24"/>
        </w:rPr>
        <w:t>, 2024). However, autonomy improves when leaders promote participatory decision-making and open communication, enhancing satisfaction and performance (</w:t>
      </w:r>
      <w:proofErr w:type="spellStart"/>
      <w:r w:rsidRPr="007B6E2C">
        <w:rPr>
          <w:rFonts w:cs="Times New Roman"/>
          <w:szCs w:val="24"/>
        </w:rPr>
        <w:t>Ichazu</w:t>
      </w:r>
      <w:proofErr w:type="spellEnd"/>
      <w:r w:rsidRPr="007B6E2C">
        <w:rPr>
          <w:rFonts w:cs="Times New Roman"/>
          <w:szCs w:val="24"/>
        </w:rPr>
        <w:t xml:space="preserve"> &amp; </w:t>
      </w:r>
      <w:proofErr w:type="spellStart"/>
      <w:r w:rsidRPr="007B6E2C">
        <w:rPr>
          <w:rFonts w:cs="Times New Roman"/>
          <w:szCs w:val="24"/>
        </w:rPr>
        <w:t>Ugbome</w:t>
      </w:r>
      <w:proofErr w:type="spellEnd"/>
      <w:r w:rsidRPr="007B6E2C">
        <w:rPr>
          <w:rFonts w:cs="Times New Roman"/>
          <w:szCs w:val="24"/>
        </w:rPr>
        <w:t>, 2024). Compared to private organizations, autonomy in Nigeria’s public sector remains low due to hierarchical management and political interference (</w:t>
      </w:r>
      <w:r>
        <w:rPr>
          <w:rFonts w:cs="Times New Roman"/>
          <w:szCs w:val="24"/>
        </w:rPr>
        <w:t>Vitalis</w:t>
      </w:r>
      <w:r w:rsidRPr="007B6E2C">
        <w:rPr>
          <w:rFonts w:cs="Times New Roman"/>
          <w:szCs w:val="24"/>
        </w:rPr>
        <w:t xml:space="preserve">, 2024). </w:t>
      </w:r>
      <w:r w:rsidRPr="000A56BA">
        <w:rPr>
          <w:rFonts w:cs="Times New Roman"/>
          <w:szCs w:val="24"/>
        </w:rPr>
        <w:t>In Nigeria’s collectivist culture, employees see autonomy as a sign of trust and recognition, underscoring the need for decentralized authority and supportive leadership to enhance satisfaction in public institutions like the FIRS</w:t>
      </w:r>
      <w:r>
        <w:rPr>
          <w:rFonts w:cs="Times New Roman"/>
          <w:szCs w:val="24"/>
        </w:rPr>
        <w:t xml:space="preserve"> (</w:t>
      </w:r>
      <w:r w:rsidRPr="000A56BA">
        <w:rPr>
          <w:rFonts w:cs="Times New Roman"/>
          <w:szCs w:val="24"/>
        </w:rPr>
        <w:t xml:space="preserve">Sulaiman, Effendi, &amp; </w:t>
      </w:r>
      <w:proofErr w:type="spellStart"/>
      <w:r w:rsidRPr="000A56BA">
        <w:rPr>
          <w:rFonts w:cs="Times New Roman"/>
          <w:szCs w:val="24"/>
        </w:rPr>
        <w:t>Aladwan</w:t>
      </w:r>
      <w:proofErr w:type="spellEnd"/>
      <w:r w:rsidRPr="000A56BA">
        <w:rPr>
          <w:rFonts w:cs="Times New Roman"/>
          <w:szCs w:val="24"/>
        </w:rPr>
        <w:t>, 2024).</w:t>
      </w:r>
    </w:p>
    <w:p w:rsidR="00F14804" w:rsidRDefault="00F14804" w:rsidP="00F14804">
      <w:pPr>
        <w:pStyle w:val="ListParagraph"/>
        <w:numPr>
          <w:ilvl w:val="0"/>
          <w:numId w:val="1"/>
        </w:numPr>
        <w:spacing w:line="240" w:lineRule="auto"/>
        <w:rPr>
          <w:rFonts w:cs="Times New Roman"/>
          <w:b/>
          <w:bCs/>
          <w:szCs w:val="24"/>
        </w:rPr>
      </w:pPr>
      <w:r>
        <w:rPr>
          <w:rFonts w:cs="Times New Roman"/>
          <w:b/>
          <w:bCs/>
          <w:szCs w:val="24"/>
        </w:rPr>
        <w:t>Theoretical Frameworks</w:t>
      </w:r>
    </w:p>
    <w:p w:rsidR="00F14804" w:rsidRPr="000F00DB" w:rsidRDefault="00F14804" w:rsidP="00F14804">
      <w:pPr>
        <w:pStyle w:val="ListParagraph"/>
        <w:numPr>
          <w:ilvl w:val="1"/>
          <w:numId w:val="1"/>
        </w:numPr>
        <w:spacing w:line="240" w:lineRule="auto"/>
        <w:rPr>
          <w:rFonts w:cs="Times New Roman"/>
          <w:b/>
          <w:bCs/>
          <w:szCs w:val="24"/>
        </w:rPr>
      </w:pPr>
      <w:r w:rsidRPr="000F00DB">
        <w:rPr>
          <w:rFonts w:cs="Times New Roman"/>
          <w:b/>
          <w:bCs/>
          <w:szCs w:val="24"/>
        </w:rPr>
        <w:t>Self-Determination Theory</w:t>
      </w:r>
    </w:p>
    <w:p w:rsidR="00F14804" w:rsidRPr="00610DA7" w:rsidRDefault="00F14804" w:rsidP="00F14804">
      <w:pPr>
        <w:pStyle w:val="NormalWeb"/>
        <w:jc w:val="both"/>
      </w:pPr>
      <w:r w:rsidRPr="00610DA7">
        <w:t>Self-Determination Theory (SDT) posits that human motivation is driven by three core psychological needs</w:t>
      </w:r>
      <w:r>
        <w:t xml:space="preserve"> – </w:t>
      </w:r>
      <w:r w:rsidRPr="00610DA7">
        <w:t xml:space="preserve">autonomy, competence, and relatedness. When these needs are fulfilled, individuals experience stronger intrinsic motivation, engagement, and overall wellbeing (Autin, Herdt, Garcia, &amp; Ezema, 2022). Autonomy reflects having choice and control over one’s actions, competence relates to feeling capable and effective, and relatedness involves feeling valued and connected to others. According to SDT, satisfying these needs fosters autonomous motivation, which enhances job satisfaction by making work more meaningful and self-directed (Manganelli, Thibault-Landry, Forest, &amp; Carpentier, 2018; </w:t>
      </w:r>
      <w:proofErr w:type="spellStart"/>
      <w:r w:rsidRPr="00610DA7">
        <w:t>Amayreh</w:t>
      </w:r>
      <w:proofErr w:type="spellEnd"/>
      <w:r w:rsidRPr="00610DA7">
        <w:t xml:space="preserve"> &amp; Arshad, 2024).</w:t>
      </w:r>
    </w:p>
    <w:p w:rsidR="00F14804" w:rsidRPr="00610DA7" w:rsidRDefault="00F14804" w:rsidP="00F14804">
      <w:pPr>
        <w:pStyle w:val="NormalWeb"/>
        <w:jc w:val="both"/>
      </w:pPr>
      <w:r w:rsidRPr="00610DA7">
        <w:t>In the workplace, autonomy fuels intrinsic motivation, leading employees to view their work as purposeful and aligned with personal growth. When supported by constructive feedback and opportunities for skill development, autonomy strengthens commitment and satisfaction (Liu et al., 2022; McAnally &amp; Hagger, 2024). Conversely, controlling environments that restrict decision-making diminish intrinsic motivation and satisfaction (</w:t>
      </w:r>
      <w:proofErr w:type="spellStart"/>
      <w:r w:rsidRPr="00610DA7">
        <w:t>Wandycz</w:t>
      </w:r>
      <w:proofErr w:type="spellEnd"/>
      <w:r w:rsidRPr="00610DA7">
        <w:t>-Mejias &amp; Roldán, 2024).</w:t>
      </w:r>
    </w:p>
    <w:p w:rsidR="00F14804" w:rsidRDefault="00F14804" w:rsidP="00F14804">
      <w:pPr>
        <w:pStyle w:val="NormalWeb"/>
        <w:jc w:val="both"/>
      </w:pPr>
      <w:r w:rsidRPr="00610DA7">
        <w:t xml:space="preserve">In this study, SDT provides the theoretical foundation for viewing job autonomy as an organizational condition that enables employees to make decisions, manage schedules, and work in ways that align with their sense of volition and competence. Such discretion deepens intrinsic motivation and satisfaction by connecting personal values with organizational goals (Ugoani, 2020; </w:t>
      </w:r>
      <w:proofErr w:type="spellStart"/>
      <w:r w:rsidRPr="00610DA7">
        <w:t>Matondang</w:t>
      </w:r>
      <w:proofErr w:type="spellEnd"/>
      <w:r w:rsidRPr="00610DA7">
        <w:t xml:space="preserve">, </w:t>
      </w:r>
      <w:proofErr w:type="spellStart"/>
      <w:r w:rsidRPr="00610DA7">
        <w:t>Absah</w:t>
      </w:r>
      <w:proofErr w:type="spellEnd"/>
      <w:r w:rsidRPr="00610DA7">
        <w:t>, &amp; Lubis, 2021). Moreover, opportunities for decision-making, feedback, and supportive communication enhance competence and relatedness</w:t>
      </w:r>
      <w:r>
        <w:t xml:space="preserve"> – </w:t>
      </w:r>
      <w:r w:rsidRPr="00610DA7">
        <w:t xml:space="preserve">key drivers of </w:t>
      </w:r>
      <w:r w:rsidRPr="00610DA7">
        <w:lastRenderedPageBreak/>
        <w:t>lasting job satisfaction (Bradfield, 2024). SDT offers a strong framework for explaining how autonomy-based motivation promotes sustained satisfaction within public organizations like the Federal Inland Revenue Service (FIRS).</w:t>
      </w:r>
    </w:p>
    <w:p w:rsidR="00F14804" w:rsidRPr="000F00DB" w:rsidRDefault="00F14804" w:rsidP="00F14804">
      <w:pPr>
        <w:pStyle w:val="ListParagraph"/>
        <w:numPr>
          <w:ilvl w:val="1"/>
          <w:numId w:val="1"/>
        </w:numPr>
        <w:spacing w:line="240" w:lineRule="auto"/>
        <w:rPr>
          <w:rFonts w:cs="Times New Roman"/>
          <w:b/>
          <w:bCs/>
          <w:szCs w:val="24"/>
        </w:rPr>
      </w:pPr>
      <w:r w:rsidRPr="000F00DB">
        <w:rPr>
          <w:rFonts w:cs="Times New Roman"/>
          <w:b/>
          <w:bCs/>
          <w:szCs w:val="24"/>
        </w:rPr>
        <w:t>Herzberg’s Two-Factor Theory</w:t>
      </w:r>
    </w:p>
    <w:p w:rsidR="00F14804" w:rsidRDefault="00F14804" w:rsidP="00F14804">
      <w:pPr>
        <w:spacing w:line="240" w:lineRule="auto"/>
        <w:rPr>
          <w:rFonts w:cs="Times New Roman"/>
          <w:szCs w:val="24"/>
        </w:rPr>
      </w:pPr>
      <w:r w:rsidRPr="00502F34">
        <w:rPr>
          <w:rFonts w:cs="Times New Roman"/>
          <w:szCs w:val="24"/>
        </w:rPr>
        <w:t>Herzberg’s Two-Factor Theory separates hygiene factors</w:t>
      </w:r>
      <w:r>
        <w:rPr>
          <w:rFonts w:cs="Times New Roman"/>
          <w:szCs w:val="24"/>
        </w:rPr>
        <w:t xml:space="preserve"> – </w:t>
      </w:r>
      <w:r w:rsidRPr="00502F34">
        <w:rPr>
          <w:rFonts w:cs="Times New Roman"/>
          <w:szCs w:val="24"/>
        </w:rPr>
        <w:t>aspects that cause dissatisfaction such as company policies, supervision, pay, interpersonal relations and working conditions</w:t>
      </w:r>
      <w:r>
        <w:rPr>
          <w:rFonts w:cs="Times New Roman"/>
          <w:szCs w:val="24"/>
        </w:rPr>
        <w:t xml:space="preserve"> – </w:t>
      </w:r>
      <w:r w:rsidRPr="00502F34">
        <w:rPr>
          <w:rFonts w:cs="Times New Roman"/>
          <w:szCs w:val="24"/>
        </w:rPr>
        <w:t>from motivators that create positive feelings about work like achievement, recognition, the work itself, responsibility and growth opportunities (</w:t>
      </w:r>
      <w:proofErr w:type="spellStart"/>
      <w:r w:rsidRPr="00502F34">
        <w:rPr>
          <w:rFonts w:cs="Times New Roman"/>
          <w:szCs w:val="24"/>
        </w:rPr>
        <w:t>Alshmemri</w:t>
      </w:r>
      <w:proofErr w:type="spellEnd"/>
      <w:r w:rsidRPr="00502F34">
        <w:rPr>
          <w:rFonts w:cs="Times New Roman"/>
          <w:szCs w:val="24"/>
        </w:rPr>
        <w:t>, Shahwan-Akl, &amp; Maude, 2017). Discretion over how tasks are done and who is accountable falls with</w:t>
      </w:r>
      <w:r>
        <w:rPr>
          <w:rFonts w:cs="Times New Roman"/>
          <w:szCs w:val="24"/>
        </w:rPr>
        <w:t xml:space="preserve">in </w:t>
      </w:r>
      <w:r w:rsidRPr="00502F34">
        <w:rPr>
          <w:rFonts w:cs="Times New Roman"/>
          <w:szCs w:val="24"/>
        </w:rPr>
        <w:t xml:space="preserve">motivators because it helps employees feel their work matters and that they own outcomes. </w:t>
      </w:r>
    </w:p>
    <w:p w:rsidR="00F14804" w:rsidRPr="007B53F3" w:rsidRDefault="00F14804" w:rsidP="00F14804">
      <w:pPr>
        <w:spacing w:line="240" w:lineRule="auto"/>
        <w:rPr>
          <w:rFonts w:cs="Times New Roman"/>
          <w:szCs w:val="24"/>
        </w:rPr>
      </w:pPr>
      <w:r w:rsidRPr="00502F34">
        <w:rPr>
          <w:rFonts w:cs="Times New Roman"/>
          <w:szCs w:val="24"/>
        </w:rPr>
        <w:t>In this study</w:t>
      </w:r>
      <w:r>
        <w:rPr>
          <w:rFonts w:cs="Times New Roman"/>
          <w:szCs w:val="24"/>
        </w:rPr>
        <w:t>,</w:t>
      </w:r>
      <w:r w:rsidRPr="00502F34">
        <w:rPr>
          <w:rFonts w:cs="Times New Roman"/>
          <w:szCs w:val="24"/>
        </w:rPr>
        <w:t xml:space="preserve"> job autonomy is treated as a motivator since it can increase responsibility, support creative problem solving, and make effort more clearly tied to results (Zhang, Jex, Peng, &amp; Wang, 2017; </w:t>
      </w:r>
      <w:proofErr w:type="spellStart"/>
      <w:r w:rsidRPr="00502F34">
        <w:rPr>
          <w:rFonts w:cs="Times New Roman"/>
          <w:szCs w:val="24"/>
        </w:rPr>
        <w:t>Demircioglu</w:t>
      </w:r>
      <w:proofErr w:type="spellEnd"/>
      <w:r w:rsidRPr="00502F34">
        <w:rPr>
          <w:rFonts w:cs="Times New Roman"/>
          <w:szCs w:val="24"/>
        </w:rPr>
        <w:t xml:space="preserve">, 2021; </w:t>
      </w:r>
      <w:proofErr w:type="spellStart"/>
      <w:r w:rsidRPr="00502F34">
        <w:rPr>
          <w:rFonts w:cs="Times New Roman"/>
          <w:szCs w:val="24"/>
        </w:rPr>
        <w:t>Nagpaul</w:t>
      </w:r>
      <w:proofErr w:type="spellEnd"/>
      <w:r w:rsidRPr="00502F34">
        <w:rPr>
          <w:rFonts w:cs="Times New Roman"/>
          <w:szCs w:val="24"/>
        </w:rPr>
        <w:t xml:space="preserve"> et al., 2022). At the same time,</w:t>
      </w:r>
      <w:r>
        <w:rPr>
          <w:rFonts w:cs="Times New Roman"/>
          <w:szCs w:val="24"/>
        </w:rPr>
        <w:t xml:space="preserve"> if hygiene factors </w:t>
      </w:r>
      <w:r w:rsidRPr="007210BD">
        <w:rPr>
          <w:rFonts w:cs="Times New Roman"/>
          <w:szCs w:val="24"/>
        </w:rPr>
        <w:t xml:space="preserve">at work are poor, extra freedom won't raise satisfaction. Supports such as fair pay, clear rules, </w:t>
      </w:r>
      <w:r>
        <w:rPr>
          <w:rFonts w:cs="Times New Roman"/>
          <w:szCs w:val="24"/>
        </w:rPr>
        <w:t xml:space="preserve">and </w:t>
      </w:r>
      <w:r w:rsidRPr="007210BD">
        <w:rPr>
          <w:rFonts w:cs="Times New Roman"/>
          <w:szCs w:val="24"/>
        </w:rPr>
        <w:t>proper supervision must be in place for added responsibility to boost job satisfaction.</w:t>
      </w:r>
    </w:p>
    <w:p w:rsidR="00F14804" w:rsidRPr="007B53F3" w:rsidRDefault="00F14804" w:rsidP="00F14804">
      <w:pPr>
        <w:spacing w:line="240" w:lineRule="auto"/>
        <w:rPr>
          <w:rFonts w:cs="Times New Roman"/>
          <w:i/>
          <w:iCs/>
          <w:szCs w:val="24"/>
        </w:rPr>
      </w:pPr>
      <w:r w:rsidRPr="006C090D">
        <w:rPr>
          <w:rFonts w:cs="Times New Roman"/>
          <w:i/>
          <w:iCs/>
          <w:szCs w:val="24"/>
        </w:rPr>
        <w:t>Table 1: Integrated Framework Linking Job Autonomy to Job Satisfaction through Self-Determination and Herzberg’s Two-Factor Theories</w:t>
      </w:r>
    </w:p>
    <w:tbl>
      <w:tblPr>
        <w:tblStyle w:val="TableGrid"/>
        <w:tblW w:w="0" w:type="auto"/>
        <w:tblLook w:val="04A0" w:firstRow="1" w:lastRow="0" w:firstColumn="1" w:lastColumn="0" w:noHBand="0" w:noVBand="1"/>
      </w:tblPr>
      <w:tblGrid>
        <w:gridCol w:w="1711"/>
        <w:gridCol w:w="2016"/>
        <w:gridCol w:w="2821"/>
        <w:gridCol w:w="2802"/>
      </w:tblGrid>
      <w:tr w:rsidR="00F14804" w:rsidRPr="007B53F3" w:rsidTr="00E65ADA">
        <w:tc>
          <w:tcPr>
            <w:tcW w:w="0" w:type="auto"/>
            <w:hideMark/>
          </w:tcPr>
          <w:p w:rsidR="00F14804" w:rsidRPr="007B53F3" w:rsidRDefault="00F14804" w:rsidP="00E65ADA">
            <w:pPr>
              <w:spacing w:after="160" w:line="240" w:lineRule="auto"/>
              <w:rPr>
                <w:rFonts w:cs="Times New Roman"/>
                <w:b/>
                <w:bCs/>
                <w:szCs w:val="24"/>
              </w:rPr>
            </w:pPr>
            <w:r w:rsidRPr="007B53F3">
              <w:rPr>
                <w:rFonts w:cs="Times New Roman"/>
                <w:b/>
                <w:bCs/>
                <w:szCs w:val="24"/>
              </w:rPr>
              <w:t>Concept</w:t>
            </w:r>
            <w:r>
              <w:rPr>
                <w:rFonts w:cs="Times New Roman"/>
                <w:b/>
                <w:bCs/>
                <w:szCs w:val="24"/>
              </w:rPr>
              <w:t>s</w:t>
            </w:r>
          </w:p>
        </w:tc>
        <w:tc>
          <w:tcPr>
            <w:tcW w:w="0" w:type="auto"/>
            <w:hideMark/>
          </w:tcPr>
          <w:p w:rsidR="00F14804" w:rsidRPr="007B53F3" w:rsidRDefault="00F14804" w:rsidP="00E65ADA">
            <w:pPr>
              <w:spacing w:after="160" w:line="240" w:lineRule="auto"/>
              <w:rPr>
                <w:rFonts w:cs="Times New Roman"/>
                <w:b/>
                <w:bCs/>
                <w:szCs w:val="24"/>
              </w:rPr>
            </w:pPr>
            <w:r w:rsidRPr="007B53F3">
              <w:rPr>
                <w:rFonts w:cs="Times New Roman"/>
                <w:b/>
                <w:bCs/>
                <w:szCs w:val="24"/>
              </w:rPr>
              <w:t>Construct / Variable</w:t>
            </w:r>
          </w:p>
        </w:tc>
        <w:tc>
          <w:tcPr>
            <w:tcW w:w="0" w:type="auto"/>
            <w:hideMark/>
          </w:tcPr>
          <w:p w:rsidR="00F14804" w:rsidRPr="007B53F3" w:rsidRDefault="00F14804" w:rsidP="00E65ADA">
            <w:pPr>
              <w:spacing w:after="160" w:line="240" w:lineRule="auto"/>
              <w:rPr>
                <w:rFonts w:cs="Times New Roman"/>
                <w:b/>
                <w:bCs/>
                <w:szCs w:val="24"/>
              </w:rPr>
            </w:pPr>
            <w:r w:rsidRPr="007B53F3">
              <w:rPr>
                <w:rFonts w:cs="Times New Roman"/>
                <w:b/>
                <w:bCs/>
                <w:szCs w:val="24"/>
              </w:rPr>
              <w:t>Theoretical Link (SDT Dimension)</w:t>
            </w:r>
          </w:p>
        </w:tc>
        <w:tc>
          <w:tcPr>
            <w:tcW w:w="0" w:type="auto"/>
            <w:hideMark/>
          </w:tcPr>
          <w:p w:rsidR="00F14804" w:rsidRPr="007B53F3" w:rsidRDefault="00F14804" w:rsidP="00E65ADA">
            <w:pPr>
              <w:spacing w:after="160" w:line="240" w:lineRule="auto"/>
              <w:rPr>
                <w:rFonts w:cs="Times New Roman"/>
                <w:b/>
                <w:bCs/>
                <w:szCs w:val="24"/>
              </w:rPr>
            </w:pPr>
            <w:r w:rsidRPr="007B53F3">
              <w:rPr>
                <w:rFonts w:cs="Times New Roman"/>
                <w:b/>
                <w:bCs/>
                <w:szCs w:val="24"/>
              </w:rPr>
              <w:t>Theoretical Link (Herzberg’s Two-Factor Theory)</w:t>
            </w:r>
          </w:p>
        </w:tc>
      </w:tr>
      <w:tr w:rsidR="00F14804" w:rsidRPr="007B53F3" w:rsidTr="00E65ADA">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Job Design Feature</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Job Autonomy</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Autonomy:</w:t>
            </w:r>
            <w:r w:rsidRPr="007B53F3">
              <w:rPr>
                <w:rFonts w:cs="Times New Roman"/>
                <w:szCs w:val="24"/>
              </w:rPr>
              <w:t xml:space="preserve"> Satisfaction of volition and self-direction.</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Motivator Factor:</w:t>
            </w:r>
            <w:r w:rsidRPr="007B53F3">
              <w:rPr>
                <w:rFonts w:cs="Times New Roman"/>
                <w:szCs w:val="24"/>
              </w:rPr>
              <w:t xml:space="preserve"> Autonomy is an intrinsic motivator that fosters satisfaction and commitment.</w:t>
            </w:r>
          </w:p>
        </w:tc>
      </w:tr>
      <w:tr w:rsidR="00F14804" w:rsidRPr="007B53F3" w:rsidTr="00E65ADA">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Psychological Mechanism</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Intrinsic Motivation</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Autonomy &amp; Competence:</w:t>
            </w:r>
            <w:r w:rsidRPr="007B53F3">
              <w:rPr>
                <w:rFonts w:cs="Times New Roman"/>
                <w:szCs w:val="24"/>
              </w:rPr>
              <w:t xml:space="preserve"> Internal drive from fulfilment of intrinsic needs.</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Motivator Factor:</w:t>
            </w:r>
            <w:r w:rsidRPr="007B53F3">
              <w:rPr>
                <w:rFonts w:cs="Times New Roman"/>
                <w:szCs w:val="24"/>
              </w:rPr>
              <w:t xml:space="preserve"> Intrinsic motivation arises from achievement and personal growth.</w:t>
            </w:r>
          </w:p>
        </w:tc>
      </w:tr>
      <w:tr w:rsidR="00F14804" w:rsidRPr="007B53F3" w:rsidTr="00E65ADA">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Mediating Condition</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Perceived Competence</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Competence:</w:t>
            </w:r>
            <w:r w:rsidRPr="007B53F3">
              <w:rPr>
                <w:rFonts w:cs="Times New Roman"/>
                <w:szCs w:val="24"/>
              </w:rPr>
              <w:t xml:space="preserve"> Feeling capable and skilled enhances internal motivation.</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Motivator Factor:</w:t>
            </w:r>
            <w:r w:rsidRPr="007B53F3">
              <w:rPr>
                <w:rFonts w:cs="Times New Roman"/>
                <w:szCs w:val="24"/>
              </w:rPr>
              <w:t xml:space="preserve"> Achievement acts as a psychological reward that fuels satisfaction.</w:t>
            </w:r>
          </w:p>
        </w:tc>
      </w:tr>
      <w:tr w:rsidR="00F14804" w:rsidRPr="007B53F3" w:rsidTr="00E65ADA">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Social Moderator</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Supervisor &amp; Peer Support</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Relatedness:</w:t>
            </w:r>
            <w:r w:rsidRPr="007B53F3">
              <w:rPr>
                <w:rFonts w:cs="Times New Roman"/>
                <w:szCs w:val="24"/>
              </w:rPr>
              <w:t xml:space="preserve"> Need for belonging and supportive social interaction.</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Hygiene Factor:</w:t>
            </w:r>
            <w:r w:rsidRPr="007B53F3">
              <w:rPr>
                <w:rFonts w:cs="Times New Roman"/>
                <w:szCs w:val="24"/>
              </w:rPr>
              <w:t xml:space="preserve"> Supportive supervision prevents dissatisfaction arising from poor management.</w:t>
            </w:r>
          </w:p>
        </w:tc>
      </w:tr>
      <w:tr w:rsidR="00F14804" w:rsidRPr="007B53F3" w:rsidTr="00E65ADA">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lastRenderedPageBreak/>
              <w:t>Psychological Outcome</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Work Meaningfulness &amp; Engagement</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Integration of Autonomy, Competence &amp; Relatedness:</w:t>
            </w:r>
            <w:r w:rsidRPr="007B53F3">
              <w:rPr>
                <w:rFonts w:cs="Times New Roman"/>
                <w:szCs w:val="24"/>
              </w:rPr>
              <w:t xml:space="preserve"> Fulfilled psychological needs increase purpose and engagement.</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Motivator Factor:</w:t>
            </w:r>
            <w:r w:rsidRPr="007B53F3">
              <w:rPr>
                <w:rFonts w:cs="Times New Roman"/>
                <w:szCs w:val="24"/>
              </w:rPr>
              <w:t xml:space="preserve"> Recognition and meaningful work are sources of satisfaction.</w:t>
            </w:r>
          </w:p>
        </w:tc>
      </w:tr>
      <w:tr w:rsidR="00F14804" w:rsidRPr="007B53F3" w:rsidTr="00E65ADA">
        <w:tc>
          <w:tcPr>
            <w:tcW w:w="0" w:type="auto"/>
            <w:hideMark/>
          </w:tcPr>
          <w:p w:rsidR="00F14804" w:rsidRPr="007B53F3" w:rsidRDefault="00F14804" w:rsidP="00E65ADA">
            <w:pPr>
              <w:spacing w:after="160" w:line="240" w:lineRule="auto"/>
              <w:rPr>
                <w:rFonts w:cs="Times New Roman"/>
                <w:szCs w:val="24"/>
              </w:rPr>
            </w:pPr>
            <w:r w:rsidRPr="006C090D">
              <w:rPr>
                <w:rFonts w:cs="Times New Roman"/>
                <w:szCs w:val="24"/>
              </w:rPr>
              <w:t>Behavioural</w:t>
            </w:r>
            <w:r w:rsidRPr="007B53F3">
              <w:rPr>
                <w:rFonts w:cs="Times New Roman"/>
                <w:szCs w:val="24"/>
              </w:rPr>
              <w:t xml:space="preserve"> Outcome</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szCs w:val="24"/>
              </w:rPr>
              <w:t>Job Satisfaction</w:t>
            </w:r>
          </w:p>
        </w:tc>
        <w:tc>
          <w:tcPr>
            <w:tcW w:w="0" w:type="auto"/>
            <w:hideMark/>
          </w:tcPr>
          <w:p w:rsidR="00F14804" w:rsidRPr="007B53F3" w:rsidRDefault="00F14804" w:rsidP="00E65ADA">
            <w:pPr>
              <w:spacing w:after="160" w:line="240" w:lineRule="auto"/>
              <w:rPr>
                <w:rFonts w:cs="Times New Roman"/>
                <w:szCs w:val="24"/>
              </w:rPr>
            </w:pPr>
            <w:r w:rsidRPr="006C090D">
              <w:rPr>
                <w:rFonts w:cs="Times New Roman"/>
                <w:i/>
                <w:iCs/>
                <w:szCs w:val="24"/>
              </w:rPr>
              <w:t>Fulfilment</w:t>
            </w:r>
            <w:r w:rsidRPr="007B53F3">
              <w:rPr>
                <w:rFonts w:cs="Times New Roman"/>
                <w:i/>
                <w:iCs/>
                <w:szCs w:val="24"/>
              </w:rPr>
              <w:t xml:space="preserve"> of All Three SDT Needs:</w:t>
            </w:r>
            <w:r w:rsidRPr="007B53F3">
              <w:rPr>
                <w:rFonts w:cs="Times New Roman"/>
                <w:szCs w:val="24"/>
              </w:rPr>
              <w:t xml:space="preserve"> Intrinsic satisfaction from volition, mastery, and connection.</w:t>
            </w:r>
          </w:p>
        </w:tc>
        <w:tc>
          <w:tcPr>
            <w:tcW w:w="0" w:type="auto"/>
            <w:hideMark/>
          </w:tcPr>
          <w:p w:rsidR="00F14804" w:rsidRPr="007B53F3" w:rsidRDefault="00F14804" w:rsidP="00E65ADA">
            <w:pPr>
              <w:spacing w:after="160" w:line="240" w:lineRule="auto"/>
              <w:rPr>
                <w:rFonts w:cs="Times New Roman"/>
                <w:szCs w:val="24"/>
              </w:rPr>
            </w:pPr>
            <w:r w:rsidRPr="007B53F3">
              <w:rPr>
                <w:rFonts w:cs="Times New Roman"/>
                <w:i/>
                <w:iCs/>
                <w:szCs w:val="24"/>
              </w:rPr>
              <w:t>Outcome of Motivator Factors:</w:t>
            </w:r>
            <w:r w:rsidRPr="007B53F3">
              <w:rPr>
                <w:rFonts w:cs="Times New Roman"/>
                <w:szCs w:val="24"/>
              </w:rPr>
              <w:t xml:space="preserve"> True satisfaction arises from intrinsic motivators (autonomy, recognition, growth).</w:t>
            </w:r>
          </w:p>
        </w:tc>
      </w:tr>
    </w:tbl>
    <w:p w:rsidR="00F14804" w:rsidRPr="00502F34" w:rsidRDefault="00F14804" w:rsidP="00F14804">
      <w:pPr>
        <w:spacing w:line="240" w:lineRule="auto"/>
        <w:rPr>
          <w:rFonts w:cs="Times New Roman"/>
          <w:szCs w:val="24"/>
        </w:rPr>
      </w:pPr>
    </w:p>
    <w:p w:rsidR="00F14804" w:rsidRPr="006C090D" w:rsidRDefault="00F14804" w:rsidP="00F14804">
      <w:pPr>
        <w:pStyle w:val="ListParagraph"/>
        <w:numPr>
          <w:ilvl w:val="0"/>
          <w:numId w:val="1"/>
        </w:numPr>
        <w:spacing w:line="240" w:lineRule="auto"/>
        <w:rPr>
          <w:rFonts w:cs="Times New Roman"/>
          <w:b/>
          <w:bCs/>
          <w:szCs w:val="24"/>
        </w:rPr>
      </w:pPr>
      <w:r w:rsidRPr="000F00DB">
        <w:rPr>
          <w:rFonts w:cs="Times New Roman"/>
          <w:b/>
          <w:bCs/>
          <w:szCs w:val="24"/>
        </w:rPr>
        <w:t>Empirical Review</w:t>
      </w:r>
    </w:p>
    <w:p w:rsidR="00F14804" w:rsidRPr="006C090D" w:rsidRDefault="00F14804" w:rsidP="00F14804">
      <w:pPr>
        <w:spacing w:line="240" w:lineRule="auto"/>
        <w:rPr>
          <w:rFonts w:cs="Times New Roman"/>
          <w:szCs w:val="24"/>
        </w:rPr>
      </w:pPr>
      <w:proofErr w:type="spellStart"/>
      <w:r>
        <w:rPr>
          <w:rFonts w:cs="Times New Roman"/>
          <w:szCs w:val="24"/>
        </w:rPr>
        <w:t>G</w:t>
      </w:r>
      <w:r w:rsidRPr="00502F34">
        <w:rPr>
          <w:rFonts w:cs="Times New Roman"/>
          <w:szCs w:val="24"/>
        </w:rPr>
        <w:t>özükara</w:t>
      </w:r>
      <w:proofErr w:type="spellEnd"/>
      <w:r w:rsidRPr="00502F34">
        <w:rPr>
          <w:rFonts w:cs="Times New Roman"/>
          <w:szCs w:val="24"/>
        </w:rPr>
        <w:t xml:space="preserve"> and Çolakoğlu (2016) surveyed 270 employees to test whether work</w:t>
      </w:r>
      <w:r>
        <w:rPr>
          <w:rFonts w:cs="Times New Roman"/>
          <w:szCs w:val="24"/>
        </w:rPr>
        <w:t>-</w:t>
      </w:r>
      <w:r w:rsidRPr="00502F34">
        <w:rPr>
          <w:rFonts w:cs="Times New Roman"/>
          <w:szCs w:val="24"/>
        </w:rPr>
        <w:t>family conflict weakens the link between job autonomy and job satisfaction. They used the Minnesota Job Satisfaction Questionnaire, a Job Autonomy Scale and a Work</w:t>
      </w:r>
      <w:r>
        <w:rPr>
          <w:rFonts w:cs="Times New Roman"/>
          <w:szCs w:val="24"/>
        </w:rPr>
        <w:t>-</w:t>
      </w:r>
      <w:r w:rsidRPr="00502F34">
        <w:rPr>
          <w:rFonts w:cs="Times New Roman"/>
          <w:szCs w:val="24"/>
        </w:rPr>
        <w:t xml:space="preserve">Family Conflict Scale. The study found that greater autonomy was linked with higher job satisfaction, but when employees struggled to </w:t>
      </w:r>
      <w:r w:rsidRPr="006C090D">
        <w:rPr>
          <w:rFonts w:cs="Times New Roman"/>
          <w:szCs w:val="24"/>
        </w:rPr>
        <w:t>balance work and family the positive effect of autonomy diminished. The authors highlight the need for organisational steps that reduce work–family conflict so the benefits of autonomy may endure.</w:t>
      </w:r>
    </w:p>
    <w:p w:rsidR="00F14804" w:rsidRPr="006C090D" w:rsidRDefault="00F14804" w:rsidP="00F14804">
      <w:pPr>
        <w:spacing w:line="240" w:lineRule="auto"/>
        <w:rPr>
          <w:rFonts w:cs="Times New Roman"/>
          <w:szCs w:val="24"/>
        </w:rPr>
      </w:pPr>
      <w:proofErr w:type="spellStart"/>
      <w:r w:rsidRPr="00182A8F">
        <w:rPr>
          <w:rFonts w:cs="Times New Roman"/>
          <w:szCs w:val="24"/>
        </w:rPr>
        <w:t>Uwannah</w:t>
      </w:r>
      <w:proofErr w:type="spellEnd"/>
      <w:r w:rsidRPr="00182A8F">
        <w:rPr>
          <w:rFonts w:cs="Times New Roman"/>
          <w:szCs w:val="24"/>
        </w:rPr>
        <w:t xml:space="preserve">, </w:t>
      </w:r>
      <w:proofErr w:type="spellStart"/>
      <w:r w:rsidRPr="00182A8F">
        <w:rPr>
          <w:rFonts w:cs="Times New Roman"/>
          <w:szCs w:val="24"/>
        </w:rPr>
        <w:t>Egwuonwu</w:t>
      </w:r>
      <w:proofErr w:type="spellEnd"/>
      <w:r w:rsidRPr="00182A8F">
        <w:rPr>
          <w:rFonts w:cs="Times New Roman"/>
          <w:szCs w:val="24"/>
        </w:rPr>
        <w:t xml:space="preserve">, </w:t>
      </w:r>
      <w:r w:rsidRPr="006C090D">
        <w:rPr>
          <w:rFonts w:cs="Times New Roman"/>
          <w:szCs w:val="24"/>
        </w:rPr>
        <w:t>&amp;</w:t>
      </w:r>
      <w:r w:rsidRPr="00182A8F">
        <w:rPr>
          <w:rFonts w:cs="Times New Roman"/>
          <w:szCs w:val="24"/>
        </w:rPr>
        <w:t xml:space="preserve"> James</w:t>
      </w:r>
      <w:r w:rsidRPr="006C090D">
        <w:rPr>
          <w:rFonts w:cs="Times New Roman"/>
          <w:szCs w:val="24"/>
        </w:rPr>
        <w:t xml:space="preserve"> (2022)</w:t>
      </w:r>
      <w:r w:rsidRPr="00182A8F">
        <w:rPr>
          <w:rFonts w:cs="Times New Roman"/>
          <w:szCs w:val="24"/>
        </w:rPr>
        <w:t xml:space="preserve"> examined job autonomy, workload, and home–work conflict as predictors of job satisfaction among employed women in academia in Ogun State, Nigeria. Using a descriptive survey of 200 female university staff and </w:t>
      </w:r>
      <w:proofErr w:type="spellStart"/>
      <w:r w:rsidRPr="00182A8F">
        <w:rPr>
          <w:rFonts w:cs="Times New Roman"/>
          <w:szCs w:val="24"/>
        </w:rPr>
        <w:t>analyzing</w:t>
      </w:r>
      <w:proofErr w:type="spellEnd"/>
      <w:r w:rsidRPr="00182A8F">
        <w:rPr>
          <w:rFonts w:cs="Times New Roman"/>
          <w:szCs w:val="24"/>
        </w:rPr>
        <w:t xml:space="preserve"> data with correlation and multiple regression, they found that the three variables jointly explained 10.1% of job satisfaction variance (Adj. R² = .101), with workload as the strongest predictor. The study concluded that excessive workload reduces satisfaction, while greater autonomy and flexible scheduling could improve job satisfaction among female academics.</w:t>
      </w:r>
    </w:p>
    <w:p w:rsidR="00F14804" w:rsidRPr="006C090D" w:rsidRDefault="00F14804" w:rsidP="00F14804">
      <w:pPr>
        <w:spacing w:line="240" w:lineRule="auto"/>
        <w:rPr>
          <w:rFonts w:cs="Times New Roman"/>
          <w:szCs w:val="24"/>
        </w:rPr>
      </w:pPr>
      <w:r w:rsidRPr="006C090D">
        <w:rPr>
          <w:rFonts w:cs="Times New Roman"/>
          <w:szCs w:val="24"/>
        </w:rPr>
        <w:t>Annual et al. (</w:t>
      </w:r>
      <w:proofErr w:type="gramStart"/>
      <w:r w:rsidRPr="006C090D">
        <w:rPr>
          <w:rFonts w:cs="Times New Roman"/>
          <w:szCs w:val="24"/>
        </w:rPr>
        <w:t>2023)</w:t>
      </w:r>
      <w:r w:rsidRPr="00182A8F">
        <w:rPr>
          <w:rFonts w:cs="Times New Roman"/>
          <w:szCs w:val="24"/>
        </w:rPr>
        <w:t>examined</w:t>
      </w:r>
      <w:proofErr w:type="gramEnd"/>
      <w:r w:rsidRPr="00182A8F">
        <w:rPr>
          <w:rFonts w:cs="Times New Roman"/>
          <w:szCs w:val="24"/>
        </w:rPr>
        <w:t xml:space="preserve"> the relationship between job autonomy and job satisfaction among 28 employees in Telekom Malaysia’s Consumer Sales Unit, Terengganu. Using questionnaires, they found no significant relationship between the two variables (p &gt; .05, r = –0.252), suggesting that employees’ decision-making freedom did not directly enhance satisfaction. Although participants reported considerable autonomy in managing their tasks, unexamined factors such as job roles and regional differences may have influenced results. The authors recommended broader studies using advanced analytical methods like SEM-PLS to better understand autonomy’s impact on satisfaction across Telekom Malaysia.</w:t>
      </w:r>
    </w:p>
    <w:p w:rsidR="00F14804" w:rsidRPr="006C090D" w:rsidRDefault="00F14804" w:rsidP="00F14804">
      <w:pPr>
        <w:spacing w:line="240" w:lineRule="auto"/>
        <w:rPr>
          <w:rFonts w:cs="Times New Roman"/>
          <w:szCs w:val="24"/>
        </w:rPr>
      </w:pPr>
      <w:proofErr w:type="spellStart"/>
      <w:r w:rsidRPr="006C090D">
        <w:rPr>
          <w:rFonts w:cs="Times New Roman"/>
          <w:szCs w:val="24"/>
        </w:rPr>
        <w:t>Zychová</w:t>
      </w:r>
      <w:proofErr w:type="spellEnd"/>
      <w:r w:rsidRPr="006C090D">
        <w:rPr>
          <w:rFonts w:cs="Times New Roman"/>
          <w:szCs w:val="24"/>
        </w:rPr>
        <w:t xml:space="preserve">, </w:t>
      </w:r>
      <w:proofErr w:type="spellStart"/>
      <w:r w:rsidRPr="006C090D">
        <w:rPr>
          <w:rFonts w:cs="Times New Roman"/>
          <w:szCs w:val="24"/>
        </w:rPr>
        <w:t>Fejfarová</w:t>
      </w:r>
      <w:proofErr w:type="spellEnd"/>
      <w:r w:rsidRPr="006C090D">
        <w:rPr>
          <w:rFonts w:cs="Times New Roman"/>
          <w:szCs w:val="24"/>
        </w:rPr>
        <w:t xml:space="preserve">, and Jindrová (2024) analysed responses from 631 participants and reported high levels of autonomy across scheduling, decision making and work methods, with 84.8% of respondents satisfied with their jobs. Positive correlations appeared between each autonomy category and overall job satisfaction, and differences surfaced across generations and between managerial and non-managerial roles, while gender and some education comparisons showed no effect. The findings suggest that higher degrees of autonomy are associated with greater </w:t>
      </w:r>
      <w:r w:rsidRPr="006C090D">
        <w:rPr>
          <w:rFonts w:cs="Times New Roman"/>
          <w:szCs w:val="24"/>
        </w:rPr>
        <w:lastRenderedPageBreak/>
        <w:t>satisfaction and that attention to how autonomy is distributed can support retention and organisational performance.</w:t>
      </w:r>
    </w:p>
    <w:p w:rsidR="00F14804" w:rsidRPr="006C090D" w:rsidRDefault="00F14804" w:rsidP="00F14804">
      <w:pPr>
        <w:spacing w:line="240" w:lineRule="auto"/>
        <w:rPr>
          <w:rFonts w:cs="Times New Roman"/>
          <w:szCs w:val="24"/>
        </w:rPr>
      </w:pPr>
      <w:r w:rsidRPr="00375A3B">
        <w:rPr>
          <w:rFonts w:cs="Times New Roman"/>
          <w:szCs w:val="24"/>
        </w:rPr>
        <w:t xml:space="preserve">Haruna and </w:t>
      </w:r>
      <w:proofErr w:type="spellStart"/>
      <w:r w:rsidRPr="00375A3B">
        <w:rPr>
          <w:rFonts w:cs="Times New Roman"/>
          <w:szCs w:val="24"/>
        </w:rPr>
        <w:t>Pongri</w:t>
      </w:r>
      <w:proofErr w:type="spellEnd"/>
      <w:r w:rsidRPr="00375A3B">
        <w:rPr>
          <w:rFonts w:cs="Times New Roman"/>
          <w:szCs w:val="24"/>
        </w:rPr>
        <w:t xml:space="preserve"> (2024) surveyed 257 staff across public universities in North-East Nigeria to investigate how the work environment and autonomy influence job satisfaction. Utilizing the Job Diagnostic Survey and Work Environment Scale, they found that autonomy had a moderate positive effect on satisfaction, but excessive bureaucratic control and limited delegation constrained its impact. The study concluded that decentralization and empowerment initiatives are essential in enhancing satisfaction among university staff in the Nigerian public sector.</w:t>
      </w:r>
    </w:p>
    <w:p w:rsidR="00F14804" w:rsidRPr="006C090D" w:rsidRDefault="00F14804" w:rsidP="00F14804">
      <w:pPr>
        <w:spacing w:line="240" w:lineRule="auto"/>
        <w:rPr>
          <w:rFonts w:cs="Times New Roman"/>
          <w:szCs w:val="24"/>
        </w:rPr>
      </w:pPr>
      <w:r w:rsidRPr="00375A3B">
        <w:rPr>
          <w:rFonts w:cs="Times New Roman"/>
          <w:szCs w:val="24"/>
        </w:rPr>
        <w:t>Vitalis (2024) conducted a comparative study of 400 employees from public and private organizations in South-East Nigeria to examine how autonomy contributes to satisfaction. Data collected via structured questionnaires revealed that private-sector employees reported higher satisfaction due to participative management and flexible job structures, whereas public-sector workers perceived limited autonomy and procedural rigidity. The author emphasized that reforming bureaucratic management practices could significantly improve satisfaction in Nigeria’s public enterprises.</w:t>
      </w:r>
    </w:p>
    <w:p w:rsidR="00F14804" w:rsidRPr="006C090D" w:rsidRDefault="00F14804" w:rsidP="00F14804">
      <w:pPr>
        <w:spacing w:line="240" w:lineRule="auto"/>
        <w:rPr>
          <w:rFonts w:cs="Times New Roman"/>
          <w:szCs w:val="24"/>
        </w:rPr>
      </w:pPr>
      <w:proofErr w:type="spellStart"/>
      <w:r w:rsidRPr="00375A3B">
        <w:rPr>
          <w:rFonts w:cs="Times New Roman"/>
          <w:szCs w:val="24"/>
        </w:rPr>
        <w:t>Ichazu</w:t>
      </w:r>
      <w:proofErr w:type="spellEnd"/>
      <w:r w:rsidRPr="00375A3B">
        <w:rPr>
          <w:rFonts w:cs="Times New Roman"/>
          <w:szCs w:val="24"/>
        </w:rPr>
        <w:t xml:space="preserve"> and </w:t>
      </w:r>
      <w:proofErr w:type="spellStart"/>
      <w:r w:rsidRPr="00375A3B">
        <w:rPr>
          <w:rFonts w:cs="Times New Roman"/>
          <w:szCs w:val="24"/>
        </w:rPr>
        <w:t>Ugbome</w:t>
      </w:r>
      <w:proofErr w:type="spellEnd"/>
      <w:r w:rsidRPr="00375A3B">
        <w:rPr>
          <w:rFonts w:cs="Times New Roman"/>
          <w:szCs w:val="24"/>
        </w:rPr>
        <w:t xml:space="preserve"> (2024) examined the managerial climate and job satisfaction of 312 academic staff across Nigerian universities. Using correlation and regression analysis, they found that job autonomy was one of the strongest predictors of satisfaction, mediated by supportive supervision and role clarity. Employees with decision-making latitude and constructive feedback demonstrated higher commitment and engagement levels. The study recommends promoting leadership practices that emphasize autonomy to improve performance and satisfaction in academic institutions.</w:t>
      </w:r>
    </w:p>
    <w:p w:rsidR="00F14804" w:rsidRPr="00375A3B" w:rsidRDefault="00F14804" w:rsidP="00F14804">
      <w:pPr>
        <w:spacing w:line="240" w:lineRule="auto"/>
        <w:rPr>
          <w:rFonts w:cs="Times New Roman"/>
          <w:szCs w:val="24"/>
        </w:rPr>
      </w:pPr>
      <w:r w:rsidRPr="00375A3B">
        <w:rPr>
          <w:rFonts w:cs="Times New Roman"/>
          <w:szCs w:val="24"/>
        </w:rPr>
        <w:t>Kusik</w:t>
      </w:r>
      <w:r w:rsidRPr="006C090D">
        <w:rPr>
          <w:rFonts w:cs="Times New Roman"/>
          <w:szCs w:val="24"/>
        </w:rPr>
        <w:t xml:space="preserve"> et al.</w:t>
      </w:r>
      <w:r w:rsidRPr="00375A3B">
        <w:rPr>
          <w:rFonts w:cs="Times New Roman"/>
          <w:szCs w:val="24"/>
        </w:rPr>
        <w:t xml:space="preserve"> (2024) examined 820 Polish employees to assess how job autonomy and autonomous motivation interact to influence work engagement and satisfaction. Using structural equation </w:t>
      </w:r>
      <w:proofErr w:type="spellStart"/>
      <w:r w:rsidRPr="00375A3B">
        <w:rPr>
          <w:rFonts w:cs="Times New Roman"/>
          <w:szCs w:val="24"/>
        </w:rPr>
        <w:t>modeling</w:t>
      </w:r>
      <w:proofErr w:type="spellEnd"/>
      <w:r w:rsidRPr="00375A3B">
        <w:rPr>
          <w:rFonts w:cs="Times New Roman"/>
          <w:szCs w:val="24"/>
        </w:rPr>
        <w:t>, they demonstrated that autonomy’s impact on satisfaction was fully mediated by autonomous motivation, aligning with self-determination theory. The study concluded that fostering intrinsic motivation through autonomy-supportive environments can strengthen satisfaction and reduce burnout.</w:t>
      </w:r>
    </w:p>
    <w:p w:rsidR="00F14804" w:rsidRPr="000F00DB" w:rsidRDefault="00F14804" w:rsidP="00F14804">
      <w:pPr>
        <w:pStyle w:val="ListParagraph"/>
        <w:numPr>
          <w:ilvl w:val="0"/>
          <w:numId w:val="1"/>
        </w:numPr>
        <w:spacing w:line="240" w:lineRule="auto"/>
        <w:rPr>
          <w:rFonts w:cs="Times New Roman"/>
          <w:b/>
          <w:bCs/>
          <w:szCs w:val="24"/>
        </w:rPr>
      </w:pPr>
      <w:r>
        <w:rPr>
          <w:rFonts w:cs="Times New Roman"/>
          <w:b/>
          <w:bCs/>
          <w:szCs w:val="24"/>
        </w:rPr>
        <w:t>M</w:t>
      </w:r>
      <w:r w:rsidRPr="000F00DB">
        <w:rPr>
          <w:rFonts w:cs="Times New Roman"/>
          <w:b/>
          <w:bCs/>
          <w:szCs w:val="24"/>
        </w:rPr>
        <w:t>ethodology</w:t>
      </w:r>
    </w:p>
    <w:p w:rsidR="00F14804" w:rsidRPr="0099057E" w:rsidRDefault="00F14804" w:rsidP="00F14804">
      <w:pPr>
        <w:spacing w:line="240" w:lineRule="auto"/>
        <w:rPr>
          <w:bCs/>
          <w:szCs w:val="24"/>
        </w:rPr>
      </w:pPr>
      <w:r w:rsidRPr="0099057E">
        <w:rPr>
          <w:bCs/>
          <w:szCs w:val="24"/>
        </w:rPr>
        <w:t xml:space="preserve">This study adopted a survey research design to </w:t>
      </w:r>
      <w:r>
        <w:rPr>
          <w:bCs/>
          <w:szCs w:val="24"/>
        </w:rPr>
        <w:t>investigate</w:t>
      </w:r>
      <w:r w:rsidRPr="0099057E">
        <w:rPr>
          <w:bCs/>
          <w:szCs w:val="24"/>
        </w:rPr>
        <w:t xml:space="preserve"> the relationship between job autonomy and </w:t>
      </w:r>
      <w:r>
        <w:rPr>
          <w:bCs/>
          <w:szCs w:val="24"/>
        </w:rPr>
        <w:t>job satisfaction</w:t>
      </w:r>
      <w:r w:rsidRPr="0099057E">
        <w:rPr>
          <w:bCs/>
          <w:szCs w:val="24"/>
        </w:rPr>
        <w:t>. The aim</w:t>
      </w:r>
      <w:r>
        <w:rPr>
          <w:bCs/>
          <w:szCs w:val="24"/>
        </w:rPr>
        <w:t xml:space="preserve"> of this study</w:t>
      </w:r>
      <w:r w:rsidRPr="0099057E">
        <w:rPr>
          <w:bCs/>
          <w:szCs w:val="24"/>
        </w:rPr>
        <w:t xml:space="preserve"> was to examine how autonomy in the workplace influence </w:t>
      </w:r>
      <w:r>
        <w:rPr>
          <w:bCs/>
          <w:szCs w:val="24"/>
        </w:rPr>
        <w:t>job satisfaction.</w:t>
      </w:r>
    </w:p>
    <w:p w:rsidR="00F14804" w:rsidRPr="0099057E" w:rsidRDefault="00F14804" w:rsidP="00F14804">
      <w:pPr>
        <w:spacing w:line="240" w:lineRule="auto"/>
        <w:rPr>
          <w:bCs/>
          <w:szCs w:val="24"/>
        </w:rPr>
      </w:pPr>
      <w:r w:rsidRPr="0099057E">
        <w:rPr>
          <w:bCs/>
          <w:szCs w:val="24"/>
        </w:rPr>
        <w:t xml:space="preserve">The target population for this research </w:t>
      </w:r>
      <w:r>
        <w:rPr>
          <w:bCs/>
          <w:szCs w:val="24"/>
        </w:rPr>
        <w:t xml:space="preserve">are the </w:t>
      </w:r>
      <w:r w:rsidRPr="0099057E">
        <w:rPr>
          <w:bCs/>
          <w:szCs w:val="24"/>
        </w:rPr>
        <w:t>employees of the Federal Inland Revenue Service (FIRS) in Lagos. A total of 180 employees were selected using a combination of stratified and simple random sampling techniques. Stratification ensured appropriate representation across different employee categories. Out of the distributed questionnaires, 150 were completed and deemed suitable for analysis.</w:t>
      </w:r>
    </w:p>
    <w:p w:rsidR="00F14804" w:rsidRPr="006C090D" w:rsidRDefault="00F14804" w:rsidP="00F14804">
      <w:pPr>
        <w:spacing w:line="240" w:lineRule="auto"/>
        <w:rPr>
          <w:bCs/>
          <w:szCs w:val="24"/>
        </w:rPr>
      </w:pPr>
      <w:r w:rsidRPr="0099057E">
        <w:rPr>
          <w:bCs/>
          <w:szCs w:val="24"/>
        </w:rPr>
        <w:t xml:space="preserve">Primary data was collected through a structured questionnaire divided into three sections. Section A gathered demographic information such as gender, age, marital status, and cadre. Section B focused on job autonomy, using a nine-item scale rated on a seven-point Likert scale from "strongly disagree" to "strongly agree." Section C assessed job </w:t>
      </w:r>
      <w:r>
        <w:rPr>
          <w:bCs/>
          <w:szCs w:val="24"/>
        </w:rPr>
        <w:t>satisfaction</w:t>
      </w:r>
      <w:r w:rsidRPr="0099057E">
        <w:rPr>
          <w:bCs/>
          <w:szCs w:val="24"/>
        </w:rPr>
        <w:t xml:space="preserve"> (4 items), also rated on the same Likert scale. The reliability of the scales was confirmed with Cronbach’s alpha values </w:t>
      </w:r>
      <w:r w:rsidRPr="0099057E">
        <w:rPr>
          <w:bCs/>
          <w:szCs w:val="24"/>
        </w:rPr>
        <w:lastRenderedPageBreak/>
        <w:t>above 0.</w:t>
      </w:r>
      <w:r>
        <w:rPr>
          <w:bCs/>
          <w:szCs w:val="24"/>
        </w:rPr>
        <w:t>71</w:t>
      </w:r>
      <w:r w:rsidRPr="0099057E">
        <w:rPr>
          <w:bCs/>
          <w:szCs w:val="24"/>
        </w:rPr>
        <w:t xml:space="preserve"> for each construct. The collected data were analy</w:t>
      </w:r>
      <w:r>
        <w:rPr>
          <w:bCs/>
          <w:szCs w:val="24"/>
        </w:rPr>
        <w:t>s</w:t>
      </w:r>
      <w:r w:rsidRPr="0099057E">
        <w:rPr>
          <w:bCs/>
          <w:szCs w:val="24"/>
        </w:rPr>
        <w:t xml:space="preserve">ed using frequency counts and percentages for demographic data, while Pearson’s correlation was used to test the </w:t>
      </w:r>
      <w:r>
        <w:rPr>
          <w:bCs/>
          <w:szCs w:val="24"/>
        </w:rPr>
        <w:t xml:space="preserve">research </w:t>
      </w:r>
      <w:r w:rsidRPr="0099057E">
        <w:rPr>
          <w:bCs/>
          <w:szCs w:val="24"/>
        </w:rPr>
        <w:t>hypothes</w:t>
      </w:r>
      <w:r>
        <w:rPr>
          <w:bCs/>
          <w:szCs w:val="24"/>
        </w:rPr>
        <w:t>i</w:t>
      </w:r>
      <w:r w:rsidRPr="0099057E">
        <w:rPr>
          <w:bCs/>
          <w:szCs w:val="24"/>
        </w:rPr>
        <w:t>s.</w:t>
      </w:r>
    </w:p>
    <w:p w:rsidR="00F14804" w:rsidRDefault="00F14804" w:rsidP="00F14804">
      <w:pPr>
        <w:pStyle w:val="ListParagraph"/>
        <w:numPr>
          <w:ilvl w:val="0"/>
          <w:numId w:val="1"/>
        </w:numPr>
        <w:spacing w:line="240" w:lineRule="auto"/>
        <w:rPr>
          <w:rFonts w:cs="Times New Roman"/>
          <w:b/>
          <w:bCs/>
          <w:szCs w:val="24"/>
        </w:rPr>
      </w:pPr>
      <w:r>
        <w:rPr>
          <w:rFonts w:cs="Times New Roman"/>
          <w:b/>
          <w:bCs/>
          <w:szCs w:val="24"/>
        </w:rPr>
        <w:t>Findings and Discussion</w:t>
      </w:r>
    </w:p>
    <w:p w:rsidR="00F14804" w:rsidRPr="000F00DB" w:rsidRDefault="00F14804" w:rsidP="00F14804">
      <w:pPr>
        <w:pStyle w:val="ListParagraph"/>
        <w:numPr>
          <w:ilvl w:val="1"/>
          <w:numId w:val="1"/>
        </w:numPr>
        <w:spacing w:line="240" w:lineRule="auto"/>
        <w:rPr>
          <w:rFonts w:cs="Times New Roman"/>
          <w:b/>
          <w:bCs/>
          <w:szCs w:val="24"/>
        </w:rPr>
      </w:pPr>
      <w:r w:rsidRPr="000F00DB">
        <w:rPr>
          <w:rFonts w:cs="Times New Roman"/>
          <w:b/>
          <w:bCs/>
          <w:szCs w:val="24"/>
        </w:rPr>
        <w:t>Demographics Data</w:t>
      </w:r>
    </w:p>
    <w:p w:rsidR="00F14804" w:rsidRPr="000F00DB" w:rsidRDefault="00F14804" w:rsidP="00F14804">
      <w:pPr>
        <w:spacing w:line="240" w:lineRule="auto"/>
        <w:rPr>
          <w:bCs/>
          <w:i/>
          <w:iCs/>
          <w:szCs w:val="24"/>
        </w:rPr>
      </w:pPr>
      <w:bookmarkStart w:id="0" w:name="_Hlk211251450"/>
      <w:r w:rsidRPr="000F00DB">
        <w:rPr>
          <w:bCs/>
          <w:i/>
          <w:iCs/>
          <w:szCs w:val="24"/>
        </w:rPr>
        <w:t xml:space="preserve">Table </w:t>
      </w:r>
      <w:r>
        <w:rPr>
          <w:bCs/>
          <w:i/>
          <w:iCs/>
          <w:szCs w:val="24"/>
        </w:rPr>
        <w:t>2</w:t>
      </w:r>
      <w:r w:rsidRPr="000F00DB">
        <w:rPr>
          <w:bCs/>
          <w:i/>
          <w:iCs/>
          <w:szCs w:val="24"/>
        </w:rPr>
        <w:t xml:space="preserve">: </w:t>
      </w:r>
      <w:r>
        <w:rPr>
          <w:bCs/>
          <w:i/>
          <w:iCs/>
          <w:szCs w:val="24"/>
        </w:rPr>
        <w:t>D</w:t>
      </w:r>
      <w:r w:rsidRPr="000F00DB">
        <w:rPr>
          <w:bCs/>
          <w:i/>
          <w:iCs/>
          <w:szCs w:val="24"/>
        </w:rPr>
        <w:t xml:space="preserve">emographic </w:t>
      </w:r>
      <w:r>
        <w:rPr>
          <w:bCs/>
          <w:i/>
          <w:iCs/>
          <w:szCs w:val="24"/>
        </w:rPr>
        <w:t>D</w:t>
      </w:r>
      <w:r w:rsidRPr="000F00DB">
        <w:rPr>
          <w:bCs/>
          <w:i/>
          <w:iCs/>
          <w:szCs w:val="24"/>
        </w:rPr>
        <w:t xml:space="preserve">ata of </w:t>
      </w:r>
      <w:r>
        <w:rPr>
          <w:bCs/>
          <w:i/>
          <w:iCs/>
          <w:szCs w:val="24"/>
        </w:rPr>
        <w:t>R</w:t>
      </w:r>
      <w:r w:rsidRPr="000F00DB">
        <w:rPr>
          <w:bCs/>
          <w:i/>
          <w:iCs/>
          <w:szCs w:val="24"/>
        </w:rPr>
        <w:t>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F14804" w:rsidRPr="000214AF" w:rsidTr="00E65ADA">
        <w:trPr>
          <w:trHeight w:val="234"/>
        </w:trPr>
        <w:tc>
          <w:tcPr>
            <w:tcW w:w="3116" w:type="dxa"/>
          </w:tcPr>
          <w:p w:rsidR="00F14804" w:rsidRPr="000214AF" w:rsidRDefault="00F14804" w:rsidP="00E65ADA">
            <w:pPr>
              <w:spacing w:after="0" w:line="240" w:lineRule="auto"/>
              <w:rPr>
                <w:bCs/>
                <w:szCs w:val="24"/>
              </w:rPr>
            </w:pPr>
            <w:r w:rsidRPr="000214AF">
              <w:rPr>
                <w:bCs/>
                <w:szCs w:val="24"/>
              </w:rPr>
              <w:t>SEX</w:t>
            </w:r>
          </w:p>
        </w:tc>
        <w:tc>
          <w:tcPr>
            <w:tcW w:w="3117" w:type="dxa"/>
          </w:tcPr>
          <w:p w:rsidR="00F14804" w:rsidRPr="000214AF" w:rsidRDefault="00F14804" w:rsidP="00E65ADA">
            <w:pPr>
              <w:spacing w:after="0" w:line="240" w:lineRule="auto"/>
              <w:rPr>
                <w:bCs/>
                <w:szCs w:val="24"/>
              </w:rPr>
            </w:pPr>
            <w:r w:rsidRPr="000214AF">
              <w:rPr>
                <w:bCs/>
                <w:szCs w:val="24"/>
              </w:rPr>
              <w:t>FREQUENCY</w:t>
            </w:r>
          </w:p>
        </w:tc>
        <w:tc>
          <w:tcPr>
            <w:tcW w:w="3117" w:type="dxa"/>
          </w:tcPr>
          <w:p w:rsidR="00F14804" w:rsidRPr="000214AF" w:rsidRDefault="00F14804" w:rsidP="00E65ADA">
            <w:pPr>
              <w:spacing w:after="0" w:line="240" w:lineRule="auto"/>
              <w:rPr>
                <w:bCs/>
                <w:szCs w:val="24"/>
              </w:rPr>
            </w:pPr>
            <w:r w:rsidRPr="000214AF">
              <w:rPr>
                <w:bCs/>
                <w:szCs w:val="24"/>
              </w:rPr>
              <w:t>PERCENT</w:t>
            </w:r>
            <w:r>
              <w:rPr>
                <w:bCs/>
                <w:szCs w:val="24"/>
              </w:rPr>
              <w:t>AGE %</w:t>
            </w:r>
          </w:p>
        </w:tc>
      </w:tr>
      <w:tr w:rsidR="00F14804" w:rsidRPr="000214AF" w:rsidTr="00E65ADA">
        <w:trPr>
          <w:trHeight w:val="181"/>
        </w:trPr>
        <w:tc>
          <w:tcPr>
            <w:tcW w:w="3116"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Male</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65</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43.3</w:t>
            </w:r>
          </w:p>
        </w:tc>
      </w:tr>
      <w:tr w:rsidR="00F14804" w:rsidRPr="000214AF" w:rsidTr="00E65ADA">
        <w:trPr>
          <w:trHeight w:val="299"/>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Female</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85</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56.7</w:t>
            </w:r>
          </w:p>
        </w:tc>
      </w:tr>
      <w:tr w:rsidR="00F14804" w:rsidRPr="003D15A9" w:rsidTr="00E65ADA">
        <w:trPr>
          <w:trHeight w:val="247"/>
        </w:trPr>
        <w:tc>
          <w:tcPr>
            <w:tcW w:w="3116"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Total</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150</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100</w:t>
            </w:r>
          </w:p>
        </w:tc>
      </w:tr>
      <w:tr w:rsidR="00F14804" w:rsidRPr="000214AF" w:rsidTr="00E65ADA">
        <w:trPr>
          <w:trHeight w:val="337"/>
        </w:trPr>
        <w:tc>
          <w:tcPr>
            <w:tcW w:w="3116"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AGE</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FREQUENCY</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PERCENT</w:t>
            </w:r>
            <w:r>
              <w:rPr>
                <w:bCs/>
                <w:szCs w:val="24"/>
              </w:rPr>
              <w:t>AGE %</w:t>
            </w:r>
          </w:p>
        </w:tc>
      </w:tr>
      <w:tr w:rsidR="00F14804" w:rsidRPr="000214AF" w:rsidTr="00E65ADA">
        <w:trPr>
          <w:trHeight w:val="143"/>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18</w:t>
            </w:r>
            <w:r>
              <w:rPr>
                <w:bCs/>
                <w:szCs w:val="24"/>
              </w:rPr>
              <w:t xml:space="preserve"> – </w:t>
            </w:r>
            <w:r w:rsidRPr="000214AF">
              <w:rPr>
                <w:bCs/>
                <w:szCs w:val="24"/>
              </w:rPr>
              <w:t>25</w:t>
            </w:r>
            <w:r>
              <w:rPr>
                <w:bCs/>
                <w:szCs w:val="24"/>
              </w:rPr>
              <w:t xml:space="preserve"> </w:t>
            </w:r>
            <w:r w:rsidRPr="000214AF">
              <w:rPr>
                <w:bCs/>
                <w:szCs w:val="24"/>
              </w:rPr>
              <w:t>years</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58</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38.7</w:t>
            </w:r>
          </w:p>
        </w:tc>
      </w:tr>
      <w:tr w:rsidR="00F14804" w:rsidRPr="000214AF" w:rsidTr="00E65ADA">
        <w:trPr>
          <w:trHeight w:val="234"/>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26</w:t>
            </w:r>
            <w:r>
              <w:rPr>
                <w:bCs/>
                <w:szCs w:val="24"/>
              </w:rPr>
              <w:t xml:space="preserve"> – </w:t>
            </w:r>
            <w:r w:rsidRPr="000214AF">
              <w:rPr>
                <w:bCs/>
                <w:szCs w:val="24"/>
              </w:rPr>
              <w:t>35</w:t>
            </w:r>
            <w:r>
              <w:rPr>
                <w:bCs/>
                <w:szCs w:val="24"/>
              </w:rPr>
              <w:t xml:space="preserve"> </w:t>
            </w:r>
            <w:r w:rsidRPr="000214AF">
              <w:rPr>
                <w:bCs/>
                <w:szCs w:val="24"/>
              </w:rPr>
              <w:t>years</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24</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16.0</w:t>
            </w:r>
          </w:p>
        </w:tc>
      </w:tr>
      <w:tr w:rsidR="00F14804" w:rsidRPr="000214AF" w:rsidTr="00E65ADA">
        <w:trPr>
          <w:trHeight w:val="195"/>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36</w:t>
            </w:r>
            <w:r>
              <w:rPr>
                <w:bCs/>
                <w:szCs w:val="24"/>
              </w:rPr>
              <w:t xml:space="preserve"> – </w:t>
            </w:r>
            <w:r w:rsidRPr="000214AF">
              <w:rPr>
                <w:bCs/>
                <w:szCs w:val="24"/>
              </w:rPr>
              <w:t>45</w:t>
            </w:r>
            <w:r>
              <w:rPr>
                <w:bCs/>
                <w:szCs w:val="24"/>
              </w:rPr>
              <w:t xml:space="preserve"> </w:t>
            </w:r>
            <w:r w:rsidRPr="000214AF">
              <w:rPr>
                <w:bCs/>
                <w:szCs w:val="24"/>
              </w:rPr>
              <w:t>years</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43</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28.7</w:t>
            </w:r>
          </w:p>
        </w:tc>
      </w:tr>
      <w:tr w:rsidR="00F14804" w:rsidRPr="000214AF" w:rsidTr="00E65ADA">
        <w:trPr>
          <w:trHeight w:val="143"/>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46</w:t>
            </w:r>
            <w:r>
              <w:rPr>
                <w:bCs/>
                <w:szCs w:val="24"/>
              </w:rPr>
              <w:t xml:space="preserve"> – </w:t>
            </w:r>
            <w:r w:rsidRPr="000214AF">
              <w:rPr>
                <w:bCs/>
                <w:szCs w:val="24"/>
              </w:rPr>
              <w:t>55</w:t>
            </w:r>
            <w:r>
              <w:rPr>
                <w:bCs/>
                <w:szCs w:val="24"/>
              </w:rPr>
              <w:t xml:space="preserve"> </w:t>
            </w:r>
            <w:r w:rsidRPr="000214AF">
              <w:rPr>
                <w:bCs/>
                <w:szCs w:val="24"/>
              </w:rPr>
              <w:t>years</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24</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16.0</w:t>
            </w:r>
          </w:p>
        </w:tc>
      </w:tr>
      <w:tr w:rsidR="00F14804" w:rsidRPr="000214AF" w:rsidTr="00E65ADA">
        <w:trPr>
          <w:trHeight w:val="318"/>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56 and above</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1</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0.6</w:t>
            </w:r>
          </w:p>
        </w:tc>
      </w:tr>
      <w:tr w:rsidR="00F14804" w:rsidRPr="000214AF" w:rsidTr="00E65ADA">
        <w:trPr>
          <w:trHeight w:val="209"/>
        </w:trPr>
        <w:tc>
          <w:tcPr>
            <w:tcW w:w="3116"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Total</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150</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100</w:t>
            </w:r>
          </w:p>
        </w:tc>
      </w:tr>
      <w:tr w:rsidR="00F14804" w:rsidRPr="000214AF" w:rsidTr="00E65ADA">
        <w:trPr>
          <w:trHeight w:val="299"/>
        </w:trPr>
        <w:tc>
          <w:tcPr>
            <w:tcW w:w="3116"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MARITAL STATUS</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FREQUENCY</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PERCENT</w:t>
            </w:r>
            <w:r>
              <w:rPr>
                <w:bCs/>
                <w:szCs w:val="24"/>
              </w:rPr>
              <w:t>AGE %</w:t>
            </w:r>
          </w:p>
        </w:tc>
      </w:tr>
      <w:tr w:rsidR="00F14804" w:rsidRPr="000214AF" w:rsidTr="00E65ADA">
        <w:trPr>
          <w:trHeight w:val="247"/>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Single</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85</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56.7</w:t>
            </w:r>
          </w:p>
        </w:tc>
      </w:tr>
      <w:tr w:rsidR="00F14804" w:rsidRPr="000214AF" w:rsidTr="00E65ADA">
        <w:trPr>
          <w:trHeight w:val="209"/>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Married</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55</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36.7</w:t>
            </w:r>
          </w:p>
        </w:tc>
      </w:tr>
      <w:tr w:rsidR="00F14804" w:rsidRPr="000214AF" w:rsidTr="00E65ADA">
        <w:trPr>
          <w:trHeight w:val="171"/>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 xml:space="preserve">Divorced </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3</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2.0</w:t>
            </w:r>
          </w:p>
        </w:tc>
      </w:tr>
      <w:tr w:rsidR="00F14804" w:rsidRPr="000214AF" w:rsidTr="00E65ADA">
        <w:trPr>
          <w:trHeight w:val="261"/>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Separated</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7</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4.6</w:t>
            </w:r>
          </w:p>
        </w:tc>
      </w:tr>
      <w:tr w:rsidR="00F14804" w:rsidRPr="000214AF" w:rsidTr="00E65ADA">
        <w:trPr>
          <w:trHeight w:val="223"/>
        </w:trPr>
        <w:tc>
          <w:tcPr>
            <w:tcW w:w="3116" w:type="dxa"/>
            <w:tcBorders>
              <w:top w:val="single" w:sz="4" w:space="0" w:color="000000"/>
            </w:tcBorders>
          </w:tcPr>
          <w:p w:rsidR="00F14804" w:rsidRPr="000214AF" w:rsidRDefault="00F14804" w:rsidP="00E65ADA">
            <w:pPr>
              <w:spacing w:after="0" w:line="240" w:lineRule="auto"/>
              <w:rPr>
                <w:bCs/>
                <w:szCs w:val="24"/>
              </w:rPr>
            </w:pPr>
            <w:r w:rsidRPr="000214AF">
              <w:rPr>
                <w:bCs/>
                <w:szCs w:val="24"/>
              </w:rPr>
              <w:t>Total</w:t>
            </w:r>
          </w:p>
        </w:tc>
        <w:tc>
          <w:tcPr>
            <w:tcW w:w="3117" w:type="dxa"/>
            <w:tcBorders>
              <w:top w:val="single" w:sz="4" w:space="0" w:color="000000"/>
            </w:tcBorders>
          </w:tcPr>
          <w:p w:rsidR="00F14804" w:rsidRPr="000214AF" w:rsidRDefault="00F14804" w:rsidP="00E65ADA">
            <w:pPr>
              <w:spacing w:after="0" w:line="240" w:lineRule="auto"/>
              <w:rPr>
                <w:bCs/>
                <w:szCs w:val="24"/>
              </w:rPr>
            </w:pPr>
            <w:r w:rsidRPr="000214AF">
              <w:rPr>
                <w:bCs/>
                <w:szCs w:val="24"/>
              </w:rPr>
              <w:t>150</w:t>
            </w:r>
          </w:p>
        </w:tc>
        <w:tc>
          <w:tcPr>
            <w:tcW w:w="3117" w:type="dxa"/>
            <w:tcBorders>
              <w:top w:val="single" w:sz="4" w:space="0" w:color="000000"/>
            </w:tcBorders>
          </w:tcPr>
          <w:p w:rsidR="00F14804" w:rsidRPr="000214AF" w:rsidRDefault="00F14804" w:rsidP="00E65ADA">
            <w:pPr>
              <w:spacing w:after="0" w:line="240" w:lineRule="auto"/>
              <w:rPr>
                <w:bCs/>
                <w:szCs w:val="24"/>
              </w:rPr>
            </w:pPr>
            <w:r w:rsidRPr="000214AF">
              <w:rPr>
                <w:bCs/>
                <w:szCs w:val="24"/>
              </w:rPr>
              <w:t>100</w:t>
            </w:r>
          </w:p>
        </w:tc>
      </w:tr>
      <w:tr w:rsidR="00F14804" w:rsidRPr="000214AF" w:rsidTr="00E65ADA">
        <w:trPr>
          <w:trHeight w:val="185"/>
        </w:trPr>
        <w:tc>
          <w:tcPr>
            <w:tcW w:w="3116"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EDUCATION</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FREQUENCY</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PERCENT</w:t>
            </w:r>
            <w:r>
              <w:rPr>
                <w:bCs/>
                <w:szCs w:val="24"/>
              </w:rPr>
              <w:t>AGE %</w:t>
            </w:r>
          </w:p>
        </w:tc>
      </w:tr>
      <w:tr w:rsidR="00F14804" w:rsidRPr="000214AF" w:rsidTr="00E65ADA">
        <w:trPr>
          <w:trHeight w:val="275"/>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Postgraduate</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80</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53.3</w:t>
            </w:r>
          </w:p>
        </w:tc>
      </w:tr>
      <w:tr w:rsidR="00F14804" w:rsidRPr="000214AF" w:rsidTr="00E65ADA">
        <w:trPr>
          <w:trHeight w:val="223"/>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B.Sc./HND</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60</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40.0</w:t>
            </w:r>
          </w:p>
        </w:tc>
      </w:tr>
      <w:tr w:rsidR="00F14804" w:rsidRPr="000214AF" w:rsidTr="00E65ADA">
        <w:trPr>
          <w:trHeight w:val="200"/>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OND/NCE</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10</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6.7</w:t>
            </w:r>
          </w:p>
        </w:tc>
      </w:tr>
      <w:tr w:rsidR="00F14804" w:rsidRPr="000214AF" w:rsidTr="00E65ADA">
        <w:trPr>
          <w:trHeight w:val="147"/>
        </w:trPr>
        <w:tc>
          <w:tcPr>
            <w:tcW w:w="3116"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Total</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150</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100</w:t>
            </w:r>
          </w:p>
        </w:tc>
      </w:tr>
      <w:tr w:rsidR="00F14804" w:rsidRPr="000214AF" w:rsidTr="00E65ADA">
        <w:trPr>
          <w:trHeight w:val="237"/>
        </w:trPr>
        <w:tc>
          <w:tcPr>
            <w:tcW w:w="3116"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CADRE</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FREQUENCY</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PERCENT</w:t>
            </w:r>
            <w:r>
              <w:rPr>
                <w:bCs/>
                <w:szCs w:val="24"/>
              </w:rPr>
              <w:t>AGE %</w:t>
            </w:r>
          </w:p>
        </w:tc>
      </w:tr>
      <w:tr w:rsidR="00F14804" w:rsidRPr="000214AF" w:rsidTr="00E65ADA">
        <w:trPr>
          <w:trHeight w:val="199"/>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Management staff</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52</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34.7</w:t>
            </w:r>
          </w:p>
        </w:tc>
      </w:tr>
      <w:tr w:rsidR="00F14804" w:rsidRPr="000214AF" w:rsidTr="00E65ADA">
        <w:trPr>
          <w:trHeight w:val="161"/>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Senior staff</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60</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40.0</w:t>
            </w:r>
          </w:p>
        </w:tc>
      </w:tr>
      <w:tr w:rsidR="00F14804" w:rsidRPr="000214AF" w:rsidTr="00E65ADA">
        <w:trPr>
          <w:trHeight w:val="110"/>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Junior staff</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Pr>
                <w:bCs/>
                <w:szCs w:val="24"/>
              </w:rPr>
              <w:t>38</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Pr>
                <w:bCs/>
                <w:szCs w:val="24"/>
              </w:rPr>
              <w:t>25.3</w:t>
            </w:r>
          </w:p>
        </w:tc>
      </w:tr>
      <w:tr w:rsidR="00F14804" w:rsidRPr="000214AF" w:rsidTr="00E65ADA">
        <w:trPr>
          <w:trHeight w:val="199"/>
        </w:trPr>
        <w:tc>
          <w:tcPr>
            <w:tcW w:w="3116"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Total</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150</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100</w:t>
            </w:r>
          </w:p>
        </w:tc>
      </w:tr>
      <w:tr w:rsidR="00F14804" w:rsidRPr="000214AF" w:rsidTr="00E65ADA">
        <w:trPr>
          <w:trHeight w:val="162"/>
        </w:trPr>
        <w:tc>
          <w:tcPr>
            <w:tcW w:w="3116"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DEPARTMENT</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FREQUENCY</w:t>
            </w:r>
          </w:p>
        </w:tc>
        <w:tc>
          <w:tcPr>
            <w:tcW w:w="3117" w:type="dxa"/>
            <w:tcBorders>
              <w:bottom w:val="single" w:sz="4" w:space="0" w:color="000000"/>
            </w:tcBorders>
          </w:tcPr>
          <w:p w:rsidR="00F14804" w:rsidRPr="000214AF" w:rsidRDefault="00F14804" w:rsidP="00E65ADA">
            <w:pPr>
              <w:spacing w:after="0" w:line="240" w:lineRule="auto"/>
              <w:rPr>
                <w:bCs/>
                <w:szCs w:val="24"/>
              </w:rPr>
            </w:pPr>
            <w:r w:rsidRPr="000214AF">
              <w:rPr>
                <w:bCs/>
                <w:szCs w:val="24"/>
              </w:rPr>
              <w:t>PERCENT</w:t>
            </w:r>
            <w:r>
              <w:rPr>
                <w:bCs/>
                <w:szCs w:val="24"/>
              </w:rPr>
              <w:t>AGE %</w:t>
            </w:r>
          </w:p>
        </w:tc>
      </w:tr>
      <w:tr w:rsidR="00F14804" w:rsidRPr="000214AF" w:rsidTr="00E65ADA">
        <w:trPr>
          <w:trHeight w:val="406"/>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Lagos Island State Coordinator’s Office</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Pr>
                <w:bCs/>
                <w:szCs w:val="24"/>
              </w:rPr>
              <w:t>41</w:t>
            </w:r>
          </w:p>
          <w:p w:rsidR="00F14804" w:rsidRPr="000214AF" w:rsidRDefault="00F14804" w:rsidP="00E65ADA">
            <w:pPr>
              <w:spacing w:after="0" w:line="240" w:lineRule="auto"/>
              <w:rPr>
                <w:bCs/>
                <w:szCs w:val="24"/>
              </w:rPr>
            </w:pP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Pr>
                <w:bCs/>
                <w:szCs w:val="24"/>
              </w:rPr>
              <w:t>27.3</w:t>
            </w:r>
          </w:p>
          <w:p w:rsidR="00F14804" w:rsidRPr="000214AF" w:rsidRDefault="00F14804" w:rsidP="00E65ADA">
            <w:pPr>
              <w:spacing w:after="0" w:line="240" w:lineRule="auto"/>
              <w:rPr>
                <w:bCs/>
                <w:szCs w:val="24"/>
              </w:rPr>
            </w:pPr>
          </w:p>
        </w:tc>
      </w:tr>
      <w:tr w:rsidR="00F14804" w:rsidRPr="000214AF" w:rsidTr="00E65ADA">
        <w:trPr>
          <w:trHeight w:val="189"/>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Relationship Management</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27</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18.0</w:t>
            </w:r>
          </w:p>
        </w:tc>
      </w:tr>
      <w:tr w:rsidR="00F14804" w:rsidRPr="000214AF" w:rsidTr="00E65ADA">
        <w:trPr>
          <w:trHeight w:val="137"/>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International Taxation</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29</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19.3</w:t>
            </w:r>
          </w:p>
        </w:tc>
      </w:tr>
      <w:tr w:rsidR="00F14804" w:rsidRPr="000214AF" w:rsidTr="00E65ADA">
        <w:trPr>
          <w:trHeight w:val="100"/>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Lagos Island HR Advisory</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33</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22.0</w:t>
            </w:r>
          </w:p>
        </w:tc>
      </w:tr>
      <w:tr w:rsidR="00F14804" w:rsidRPr="000214AF" w:rsidTr="00E65ADA">
        <w:trPr>
          <w:trHeight w:val="335"/>
        </w:trPr>
        <w:tc>
          <w:tcPr>
            <w:tcW w:w="3116"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Oil and Gas Down and Up Streams Office</w:t>
            </w: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20</w:t>
            </w:r>
          </w:p>
          <w:p w:rsidR="00F14804" w:rsidRPr="000214AF" w:rsidRDefault="00F14804" w:rsidP="00E65ADA">
            <w:pPr>
              <w:spacing w:after="0" w:line="240" w:lineRule="auto"/>
              <w:rPr>
                <w:bCs/>
                <w:szCs w:val="24"/>
              </w:rPr>
            </w:pPr>
          </w:p>
        </w:tc>
        <w:tc>
          <w:tcPr>
            <w:tcW w:w="3117" w:type="dxa"/>
            <w:tcBorders>
              <w:top w:val="single" w:sz="4" w:space="0" w:color="000000"/>
              <w:bottom w:val="single" w:sz="4" w:space="0" w:color="000000"/>
            </w:tcBorders>
          </w:tcPr>
          <w:p w:rsidR="00F14804" w:rsidRPr="000214AF" w:rsidRDefault="00F14804" w:rsidP="00E65ADA">
            <w:pPr>
              <w:spacing w:after="0" w:line="240" w:lineRule="auto"/>
              <w:rPr>
                <w:bCs/>
                <w:szCs w:val="24"/>
              </w:rPr>
            </w:pPr>
            <w:r w:rsidRPr="000214AF">
              <w:rPr>
                <w:bCs/>
                <w:szCs w:val="24"/>
              </w:rPr>
              <w:t>13.4</w:t>
            </w:r>
          </w:p>
          <w:p w:rsidR="00F14804" w:rsidRPr="000214AF" w:rsidRDefault="00F14804" w:rsidP="00E65ADA">
            <w:pPr>
              <w:spacing w:after="0" w:line="240" w:lineRule="auto"/>
              <w:rPr>
                <w:bCs/>
                <w:szCs w:val="24"/>
              </w:rPr>
            </w:pPr>
          </w:p>
        </w:tc>
      </w:tr>
      <w:tr w:rsidR="00F14804" w:rsidRPr="000214AF" w:rsidTr="00E65ADA">
        <w:trPr>
          <w:trHeight w:val="252"/>
        </w:trPr>
        <w:tc>
          <w:tcPr>
            <w:tcW w:w="3116"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Total</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150</w:t>
            </w:r>
          </w:p>
        </w:tc>
        <w:tc>
          <w:tcPr>
            <w:tcW w:w="3117" w:type="dxa"/>
            <w:tcBorders>
              <w:top w:val="single" w:sz="4" w:space="0" w:color="000000"/>
            </w:tcBorders>
          </w:tcPr>
          <w:p w:rsidR="00F14804" w:rsidRPr="003D15A9" w:rsidRDefault="00F14804" w:rsidP="00E65ADA">
            <w:pPr>
              <w:spacing w:after="0" w:line="240" w:lineRule="auto"/>
              <w:rPr>
                <w:bCs/>
                <w:i/>
                <w:iCs/>
                <w:szCs w:val="24"/>
              </w:rPr>
            </w:pPr>
            <w:r w:rsidRPr="003D15A9">
              <w:rPr>
                <w:bCs/>
                <w:i/>
                <w:iCs/>
                <w:szCs w:val="24"/>
              </w:rPr>
              <w:t>100</w:t>
            </w:r>
          </w:p>
        </w:tc>
      </w:tr>
    </w:tbl>
    <w:p w:rsidR="00F14804" w:rsidRPr="000214AF" w:rsidRDefault="00F14804" w:rsidP="00F14804">
      <w:pPr>
        <w:spacing w:line="240" w:lineRule="auto"/>
        <w:rPr>
          <w:bCs/>
          <w:szCs w:val="24"/>
        </w:rPr>
      </w:pPr>
      <w:r w:rsidRPr="000214AF">
        <w:rPr>
          <w:bCs/>
          <w:szCs w:val="24"/>
        </w:rPr>
        <w:t>Source: Field Survey</w:t>
      </w:r>
    </w:p>
    <w:p w:rsidR="00F14804" w:rsidRPr="000F00DB" w:rsidRDefault="00F14804" w:rsidP="00F14804">
      <w:pPr>
        <w:spacing w:line="240" w:lineRule="auto"/>
        <w:rPr>
          <w:rFonts w:cs="Times New Roman"/>
          <w:szCs w:val="24"/>
        </w:rPr>
      </w:pPr>
      <w:r w:rsidRPr="000F00DB">
        <w:rPr>
          <w:rFonts w:cs="Times New Roman"/>
          <w:szCs w:val="24"/>
        </w:rPr>
        <w:lastRenderedPageBreak/>
        <w:t>The sample comprises 150 respondents with more women (85; 56.7%) than men (65; 43.3%). The largest age group is 18–25 years (58; 38.7%), followed by 36–45 years (43; 28.7%); the 26–35 and 46–55 bands each have 24 respondents (16.0%), and one respondent (0.6%) is 56 or older. Most respondents are single (85; 56.7%) while 55 (36.7%) are married and a few are divorced or separated. The sample is well qualified: 80 (53.3%) hold postgraduate degrees, 60 (40.0%) have B.Sc./HND, and 10 (6.7%) have OND/NCE.</w:t>
      </w:r>
    </w:p>
    <w:p w:rsidR="00F14804" w:rsidRPr="000F00DB" w:rsidRDefault="00F14804" w:rsidP="00F14804">
      <w:pPr>
        <w:spacing w:line="240" w:lineRule="auto"/>
        <w:rPr>
          <w:rFonts w:cs="Times New Roman"/>
          <w:szCs w:val="24"/>
        </w:rPr>
      </w:pPr>
      <w:r w:rsidRPr="000F00DB">
        <w:rPr>
          <w:rFonts w:cs="Times New Roman"/>
          <w:szCs w:val="24"/>
        </w:rPr>
        <w:t>By cadre, senior staff make up the largest share (60; 40.0%), followed by management staff (52; 34.7%) and junior staff (38; 25.3%). Departmental representation includes Lagos Island State Coordinator’s Office (41; 27.3%), Lagos Island HR Advisory (33; 22.0%), International Taxation (29; 19.3%), Relationship Management (27; 18.0%), and Oil &amp; Gas Down and Up Streams Office (20; 13.4%), showing coverage of both advisory and operational units with some concentration in the coordinator and HR offices.</w:t>
      </w:r>
      <w:bookmarkEnd w:id="0"/>
    </w:p>
    <w:p w:rsidR="00F14804" w:rsidRPr="000F00DB" w:rsidRDefault="00F14804" w:rsidP="00F14804">
      <w:pPr>
        <w:pStyle w:val="ListParagraph"/>
        <w:numPr>
          <w:ilvl w:val="1"/>
          <w:numId w:val="1"/>
        </w:numPr>
        <w:spacing w:line="240" w:lineRule="auto"/>
        <w:rPr>
          <w:rFonts w:cs="Times New Roman"/>
          <w:b/>
          <w:bCs/>
          <w:szCs w:val="24"/>
        </w:rPr>
      </w:pPr>
      <w:r w:rsidRPr="000F00DB">
        <w:rPr>
          <w:rFonts w:cs="Times New Roman"/>
          <w:b/>
          <w:bCs/>
          <w:szCs w:val="24"/>
        </w:rPr>
        <w:t>Test of Hypothesis</w:t>
      </w:r>
    </w:p>
    <w:p w:rsidR="00F14804" w:rsidRPr="00FA07C1" w:rsidRDefault="00F14804" w:rsidP="00F14804">
      <w:pPr>
        <w:spacing w:line="240" w:lineRule="auto"/>
        <w:rPr>
          <w:szCs w:val="24"/>
        </w:rPr>
      </w:pPr>
      <w:r w:rsidRPr="00786C26">
        <w:rPr>
          <w:szCs w:val="24"/>
        </w:rPr>
        <w:t>H0: There is no significant relationship between job autonomy and job satisfaction.</w:t>
      </w:r>
    </w:p>
    <w:p w:rsidR="00F14804" w:rsidRPr="000F00DB" w:rsidRDefault="00F14804" w:rsidP="00F14804">
      <w:pPr>
        <w:spacing w:line="240" w:lineRule="auto"/>
        <w:rPr>
          <w:rFonts w:cs="Times New Roman"/>
          <w:bCs/>
          <w:i/>
          <w:iCs/>
          <w:szCs w:val="24"/>
        </w:rPr>
      </w:pPr>
      <w:r w:rsidRPr="000F00DB">
        <w:rPr>
          <w:rFonts w:cs="Times New Roman"/>
          <w:bCs/>
          <w:i/>
          <w:iCs/>
          <w:szCs w:val="24"/>
        </w:rPr>
        <w:t xml:space="preserve">Table </w:t>
      </w:r>
      <w:r>
        <w:rPr>
          <w:rFonts w:cs="Times New Roman"/>
          <w:bCs/>
          <w:i/>
          <w:iCs/>
          <w:szCs w:val="24"/>
        </w:rPr>
        <w:t>3</w:t>
      </w:r>
      <w:r w:rsidRPr="000F00DB">
        <w:rPr>
          <w:rFonts w:cs="Times New Roman"/>
          <w:bCs/>
          <w:i/>
          <w:iCs/>
          <w:szCs w:val="24"/>
        </w:rPr>
        <w:t>: Pearson’s correlations between job autonomy and job satisfaction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9"/>
        <w:gridCol w:w="1163"/>
        <w:gridCol w:w="1236"/>
        <w:gridCol w:w="663"/>
        <w:gridCol w:w="944"/>
        <w:gridCol w:w="753"/>
        <w:gridCol w:w="1155"/>
      </w:tblGrid>
      <w:tr w:rsidR="00F14804" w:rsidRPr="008D721E" w:rsidTr="00E65ADA">
        <w:tc>
          <w:tcPr>
            <w:tcW w:w="2929" w:type="dxa"/>
          </w:tcPr>
          <w:p w:rsidR="00F14804" w:rsidRPr="008D721E" w:rsidRDefault="00F14804" w:rsidP="00E65ADA">
            <w:pPr>
              <w:spacing w:line="240" w:lineRule="auto"/>
              <w:rPr>
                <w:rFonts w:cs="Times New Roman"/>
                <w:b/>
                <w:szCs w:val="24"/>
              </w:rPr>
            </w:pPr>
            <w:r w:rsidRPr="008D721E">
              <w:rPr>
                <w:rFonts w:cs="Times New Roman"/>
                <w:szCs w:val="24"/>
              </w:rPr>
              <w:tab/>
            </w:r>
            <w:r w:rsidRPr="008D721E">
              <w:rPr>
                <w:rFonts w:cs="Times New Roman"/>
                <w:b/>
                <w:szCs w:val="24"/>
              </w:rPr>
              <w:t>Variable</w:t>
            </w:r>
          </w:p>
        </w:tc>
        <w:tc>
          <w:tcPr>
            <w:tcW w:w="1163" w:type="dxa"/>
          </w:tcPr>
          <w:p w:rsidR="00F14804" w:rsidRPr="008D721E" w:rsidRDefault="00F14804" w:rsidP="00E65ADA">
            <w:pPr>
              <w:spacing w:line="240" w:lineRule="auto"/>
              <w:rPr>
                <w:rFonts w:cs="Times New Roman"/>
                <w:b/>
                <w:szCs w:val="24"/>
              </w:rPr>
            </w:pPr>
            <w:r w:rsidRPr="008D721E">
              <w:rPr>
                <w:rFonts w:cs="Times New Roman"/>
                <w:b/>
                <w:szCs w:val="24"/>
              </w:rPr>
              <w:t>Mean</w:t>
            </w:r>
          </w:p>
        </w:tc>
        <w:tc>
          <w:tcPr>
            <w:tcW w:w="1116" w:type="dxa"/>
          </w:tcPr>
          <w:p w:rsidR="00F14804" w:rsidRPr="008D721E" w:rsidRDefault="00F14804" w:rsidP="00E65ADA">
            <w:pPr>
              <w:spacing w:line="240" w:lineRule="auto"/>
              <w:rPr>
                <w:rFonts w:cs="Times New Roman"/>
                <w:b/>
                <w:szCs w:val="24"/>
              </w:rPr>
            </w:pPr>
            <w:r w:rsidRPr="008D721E">
              <w:rPr>
                <w:rFonts w:cs="Times New Roman"/>
                <w:b/>
                <w:szCs w:val="24"/>
              </w:rPr>
              <w:t>Std. Dev.</w:t>
            </w:r>
          </w:p>
        </w:tc>
        <w:tc>
          <w:tcPr>
            <w:tcW w:w="663" w:type="dxa"/>
          </w:tcPr>
          <w:p w:rsidR="00F14804" w:rsidRPr="008D721E" w:rsidRDefault="00F14804" w:rsidP="00E65ADA">
            <w:pPr>
              <w:spacing w:line="240" w:lineRule="auto"/>
              <w:rPr>
                <w:rFonts w:cs="Times New Roman"/>
                <w:b/>
                <w:szCs w:val="24"/>
              </w:rPr>
            </w:pPr>
            <w:r w:rsidRPr="008D721E">
              <w:rPr>
                <w:rFonts w:cs="Times New Roman"/>
                <w:b/>
                <w:szCs w:val="24"/>
              </w:rPr>
              <w:t>N</w:t>
            </w:r>
          </w:p>
        </w:tc>
        <w:tc>
          <w:tcPr>
            <w:tcW w:w="944" w:type="dxa"/>
          </w:tcPr>
          <w:p w:rsidR="00F14804" w:rsidRPr="008D721E" w:rsidRDefault="00F14804" w:rsidP="00E65ADA">
            <w:pPr>
              <w:spacing w:line="240" w:lineRule="auto"/>
              <w:rPr>
                <w:rFonts w:cs="Times New Roman"/>
                <w:b/>
                <w:szCs w:val="24"/>
              </w:rPr>
            </w:pPr>
            <w:r w:rsidRPr="008D721E">
              <w:rPr>
                <w:rFonts w:cs="Times New Roman"/>
                <w:b/>
                <w:szCs w:val="24"/>
              </w:rPr>
              <w:t xml:space="preserve">   R</w:t>
            </w:r>
          </w:p>
        </w:tc>
        <w:tc>
          <w:tcPr>
            <w:tcW w:w="753" w:type="dxa"/>
          </w:tcPr>
          <w:p w:rsidR="00F14804" w:rsidRPr="008D721E" w:rsidRDefault="00F14804" w:rsidP="00E65ADA">
            <w:pPr>
              <w:spacing w:line="240" w:lineRule="auto"/>
              <w:rPr>
                <w:rFonts w:cs="Times New Roman"/>
                <w:b/>
                <w:szCs w:val="24"/>
              </w:rPr>
            </w:pPr>
            <w:r w:rsidRPr="008D721E">
              <w:rPr>
                <w:rFonts w:cs="Times New Roman"/>
                <w:b/>
                <w:szCs w:val="24"/>
              </w:rPr>
              <w:t>P</w:t>
            </w:r>
          </w:p>
        </w:tc>
        <w:tc>
          <w:tcPr>
            <w:tcW w:w="1155" w:type="dxa"/>
          </w:tcPr>
          <w:p w:rsidR="00F14804" w:rsidRPr="008D721E" w:rsidRDefault="00F14804" w:rsidP="00E65ADA">
            <w:pPr>
              <w:spacing w:line="240" w:lineRule="auto"/>
              <w:rPr>
                <w:rFonts w:cs="Times New Roman"/>
                <w:b/>
                <w:szCs w:val="24"/>
              </w:rPr>
            </w:pPr>
            <w:r w:rsidRPr="008D721E">
              <w:rPr>
                <w:rFonts w:cs="Times New Roman"/>
                <w:b/>
                <w:szCs w:val="24"/>
              </w:rPr>
              <w:t xml:space="preserve">Remark </w:t>
            </w:r>
          </w:p>
        </w:tc>
      </w:tr>
      <w:tr w:rsidR="00F14804" w:rsidRPr="008D721E" w:rsidTr="00E65ADA">
        <w:tc>
          <w:tcPr>
            <w:tcW w:w="2929" w:type="dxa"/>
          </w:tcPr>
          <w:p w:rsidR="00F14804" w:rsidRDefault="00F14804" w:rsidP="00E65ADA">
            <w:pPr>
              <w:spacing w:line="240" w:lineRule="auto"/>
              <w:rPr>
                <w:rFonts w:cs="Times New Roman"/>
                <w:szCs w:val="24"/>
              </w:rPr>
            </w:pPr>
            <w:r>
              <w:rPr>
                <w:rFonts w:cs="Times New Roman"/>
                <w:bCs/>
                <w:szCs w:val="24"/>
              </w:rPr>
              <w:t>job satisfaction</w:t>
            </w:r>
            <w:r>
              <w:rPr>
                <w:rFonts w:cs="Times New Roman"/>
                <w:szCs w:val="24"/>
              </w:rPr>
              <w:t xml:space="preserve"> </w:t>
            </w:r>
          </w:p>
          <w:p w:rsidR="00F14804" w:rsidRPr="008D721E" w:rsidRDefault="00F14804" w:rsidP="00E65ADA">
            <w:pPr>
              <w:spacing w:line="240" w:lineRule="auto"/>
              <w:rPr>
                <w:rFonts w:cs="Times New Roman"/>
                <w:szCs w:val="24"/>
              </w:rPr>
            </w:pPr>
            <w:r>
              <w:rPr>
                <w:rFonts w:cs="Times New Roman"/>
                <w:szCs w:val="24"/>
              </w:rPr>
              <w:t>job autonomy</w:t>
            </w:r>
          </w:p>
        </w:tc>
        <w:tc>
          <w:tcPr>
            <w:tcW w:w="1163" w:type="dxa"/>
          </w:tcPr>
          <w:p w:rsidR="00F14804" w:rsidRPr="008D721E" w:rsidRDefault="00F14804" w:rsidP="00E65ADA">
            <w:pPr>
              <w:spacing w:line="240" w:lineRule="auto"/>
              <w:rPr>
                <w:rFonts w:cs="Times New Roman"/>
                <w:szCs w:val="24"/>
              </w:rPr>
            </w:pPr>
            <w:r>
              <w:rPr>
                <w:rFonts w:cs="Times New Roman"/>
                <w:szCs w:val="24"/>
              </w:rPr>
              <w:t>5.660000</w:t>
            </w:r>
          </w:p>
          <w:p w:rsidR="00F14804" w:rsidRPr="008D721E" w:rsidRDefault="00F14804" w:rsidP="00E65ADA">
            <w:pPr>
              <w:spacing w:line="240" w:lineRule="auto"/>
              <w:rPr>
                <w:rFonts w:cs="Times New Roman"/>
                <w:szCs w:val="24"/>
              </w:rPr>
            </w:pPr>
            <w:r>
              <w:rPr>
                <w:rFonts w:cs="Times New Roman"/>
                <w:szCs w:val="24"/>
              </w:rPr>
              <w:t>5.478519</w:t>
            </w:r>
          </w:p>
        </w:tc>
        <w:tc>
          <w:tcPr>
            <w:tcW w:w="1116" w:type="dxa"/>
          </w:tcPr>
          <w:p w:rsidR="00F14804" w:rsidRPr="008D721E" w:rsidRDefault="00F14804" w:rsidP="00E65ADA">
            <w:pPr>
              <w:spacing w:line="240" w:lineRule="auto"/>
              <w:rPr>
                <w:rFonts w:cs="Times New Roman"/>
                <w:szCs w:val="24"/>
              </w:rPr>
            </w:pPr>
            <w:r>
              <w:rPr>
                <w:rFonts w:cs="Times New Roman"/>
                <w:szCs w:val="24"/>
              </w:rPr>
              <w:t>.8793513</w:t>
            </w:r>
          </w:p>
          <w:p w:rsidR="00F14804" w:rsidRPr="008D721E" w:rsidRDefault="00F14804" w:rsidP="00E65ADA">
            <w:pPr>
              <w:spacing w:line="240" w:lineRule="auto"/>
              <w:rPr>
                <w:rFonts w:cs="Times New Roman"/>
                <w:szCs w:val="24"/>
              </w:rPr>
            </w:pPr>
            <w:r>
              <w:rPr>
                <w:rFonts w:cs="Times New Roman"/>
                <w:szCs w:val="24"/>
              </w:rPr>
              <w:t>1.0011135</w:t>
            </w:r>
          </w:p>
        </w:tc>
        <w:tc>
          <w:tcPr>
            <w:tcW w:w="663" w:type="dxa"/>
          </w:tcPr>
          <w:p w:rsidR="00F14804" w:rsidRPr="008D721E" w:rsidRDefault="00F14804" w:rsidP="00E65ADA">
            <w:pPr>
              <w:spacing w:line="240" w:lineRule="auto"/>
              <w:rPr>
                <w:rFonts w:cs="Times New Roman"/>
                <w:szCs w:val="24"/>
              </w:rPr>
            </w:pPr>
            <w:r w:rsidRPr="008D721E">
              <w:rPr>
                <w:rFonts w:cs="Times New Roman"/>
                <w:szCs w:val="24"/>
              </w:rPr>
              <w:t>150</w:t>
            </w:r>
          </w:p>
        </w:tc>
        <w:tc>
          <w:tcPr>
            <w:tcW w:w="944" w:type="dxa"/>
          </w:tcPr>
          <w:p w:rsidR="00F14804" w:rsidRPr="008D721E" w:rsidRDefault="00F14804" w:rsidP="00E65ADA">
            <w:pPr>
              <w:spacing w:line="240" w:lineRule="auto"/>
              <w:rPr>
                <w:rFonts w:cs="Times New Roman"/>
                <w:szCs w:val="24"/>
              </w:rPr>
            </w:pPr>
            <w:r w:rsidRPr="008D721E">
              <w:rPr>
                <w:rFonts w:cs="Times New Roman"/>
                <w:szCs w:val="24"/>
              </w:rPr>
              <w:t>.5</w:t>
            </w:r>
            <w:r>
              <w:rPr>
                <w:rFonts w:cs="Times New Roman"/>
                <w:szCs w:val="24"/>
              </w:rPr>
              <w:t>41</w:t>
            </w:r>
            <w:r w:rsidRPr="008D721E">
              <w:rPr>
                <w:rFonts w:cs="Times New Roman"/>
                <w:szCs w:val="24"/>
              </w:rPr>
              <w:t>*</w:t>
            </w:r>
          </w:p>
        </w:tc>
        <w:tc>
          <w:tcPr>
            <w:tcW w:w="753" w:type="dxa"/>
          </w:tcPr>
          <w:p w:rsidR="00F14804" w:rsidRPr="008D721E" w:rsidRDefault="00F14804" w:rsidP="00E65ADA">
            <w:pPr>
              <w:spacing w:line="240" w:lineRule="auto"/>
              <w:rPr>
                <w:rFonts w:cs="Times New Roman"/>
                <w:szCs w:val="24"/>
              </w:rPr>
            </w:pPr>
            <w:r w:rsidRPr="008D721E">
              <w:rPr>
                <w:rFonts w:cs="Times New Roman"/>
                <w:szCs w:val="24"/>
              </w:rPr>
              <w:t>.0</w:t>
            </w:r>
            <w:r>
              <w:rPr>
                <w:rFonts w:cs="Times New Roman"/>
                <w:szCs w:val="24"/>
              </w:rPr>
              <w:t>06</w:t>
            </w:r>
          </w:p>
        </w:tc>
        <w:tc>
          <w:tcPr>
            <w:tcW w:w="1155" w:type="dxa"/>
          </w:tcPr>
          <w:p w:rsidR="00F14804" w:rsidRPr="008D721E" w:rsidRDefault="00F14804" w:rsidP="00E65ADA">
            <w:pPr>
              <w:spacing w:line="240" w:lineRule="auto"/>
              <w:rPr>
                <w:rFonts w:cs="Times New Roman"/>
                <w:szCs w:val="24"/>
              </w:rPr>
            </w:pPr>
            <w:r w:rsidRPr="008D721E">
              <w:rPr>
                <w:rFonts w:cs="Times New Roman"/>
                <w:szCs w:val="24"/>
              </w:rPr>
              <w:t>Sig</w:t>
            </w:r>
          </w:p>
        </w:tc>
      </w:tr>
    </w:tbl>
    <w:p w:rsidR="00F14804" w:rsidRPr="00C74951" w:rsidRDefault="00F14804" w:rsidP="00F14804">
      <w:pPr>
        <w:spacing w:line="240" w:lineRule="auto"/>
        <w:rPr>
          <w:rFonts w:cs="Times New Roman"/>
          <w:szCs w:val="24"/>
          <w:lang w:val="yo-NG"/>
        </w:rPr>
      </w:pPr>
      <w:r w:rsidRPr="008D721E">
        <w:rPr>
          <w:rFonts w:cs="Times New Roman"/>
          <w:szCs w:val="24"/>
        </w:rPr>
        <w:t>* Sig. at .05</w:t>
      </w:r>
      <w:r>
        <w:rPr>
          <w:rFonts w:cs="Times New Roman"/>
          <w:szCs w:val="24"/>
        </w:rPr>
        <w:t xml:space="preserve"> </w:t>
      </w:r>
      <w:r w:rsidRPr="008D721E">
        <w:rPr>
          <w:rFonts w:cs="Times New Roman"/>
          <w:szCs w:val="24"/>
        </w:rPr>
        <w:t>level</w:t>
      </w:r>
    </w:p>
    <w:p w:rsidR="00F14804" w:rsidRPr="00854B91" w:rsidRDefault="00F14804" w:rsidP="00F14804">
      <w:pPr>
        <w:spacing w:line="240" w:lineRule="auto"/>
        <w:rPr>
          <w:rFonts w:cs="Times New Roman"/>
          <w:szCs w:val="24"/>
        </w:rPr>
      </w:pPr>
      <w:r w:rsidRPr="00854B91">
        <w:rPr>
          <w:rFonts w:cs="Times New Roman"/>
          <w:szCs w:val="24"/>
        </w:rPr>
        <w:t xml:space="preserve">Table </w:t>
      </w:r>
      <w:r>
        <w:rPr>
          <w:rFonts w:cs="Times New Roman"/>
          <w:szCs w:val="24"/>
        </w:rPr>
        <w:t>3</w:t>
      </w:r>
      <w:r w:rsidRPr="00854B91">
        <w:rPr>
          <w:rFonts w:cs="Times New Roman"/>
          <w:szCs w:val="24"/>
        </w:rPr>
        <w:t xml:space="preserve"> presents the Pearson’s correlation between job autonomy and job </w:t>
      </w:r>
      <w:r>
        <w:rPr>
          <w:rFonts w:cs="Times New Roman"/>
          <w:szCs w:val="24"/>
        </w:rPr>
        <w:t>satisfaction</w:t>
      </w:r>
      <w:r w:rsidRPr="00854B91">
        <w:rPr>
          <w:rFonts w:cs="Times New Roman"/>
          <w:szCs w:val="24"/>
        </w:rPr>
        <w:t>, showing a correlation coefficient (r) of .5</w:t>
      </w:r>
      <w:r>
        <w:rPr>
          <w:rFonts w:cs="Times New Roman"/>
          <w:szCs w:val="24"/>
        </w:rPr>
        <w:t>41</w:t>
      </w:r>
      <w:r w:rsidRPr="00854B91">
        <w:rPr>
          <w:rFonts w:cs="Times New Roman"/>
          <w:szCs w:val="24"/>
        </w:rPr>
        <w:t xml:space="preserve"> and a p-value of .00</w:t>
      </w:r>
      <w:r>
        <w:rPr>
          <w:rFonts w:cs="Times New Roman"/>
          <w:szCs w:val="24"/>
        </w:rPr>
        <w:t>6</w:t>
      </w:r>
      <w:r w:rsidRPr="00854B91">
        <w:rPr>
          <w:rFonts w:cs="Times New Roman"/>
          <w:szCs w:val="24"/>
        </w:rPr>
        <w:t xml:space="preserve"> at the 0.05 significance level. Since the p-value is lower than 0.05, the null hypothesis (H0), which stated that </w:t>
      </w:r>
      <w:r w:rsidRPr="00786C26">
        <w:rPr>
          <w:szCs w:val="24"/>
        </w:rPr>
        <w:t>no significant relationship between job autonomy and job satisfaction</w:t>
      </w:r>
      <w:r w:rsidRPr="00854B91">
        <w:rPr>
          <w:rFonts w:cs="Times New Roman"/>
          <w:szCs w:val="24"/>
        </w:rPr>
        <w:t xml:space="preserve">, is rejected. This result indicates a statistically significant positive association between the two variables, suggesting that higher levels of autonomy are linked with improved </w:t>
      </w:r>
      <w:r>
        <w:rPr>
          <w:rFonts w:cs="Times New Roman"/>
          <w:szCs w:val="24"/>
        </w:rPr>
        <w:t xml:space="preserve">employee job satisfaction </w:t>
      </w:r>
      <w:r w:rsidRPr="00854B91">
        <w:rPr>
          <w:rFonts w:cs="Times New Roman"/>
          <w:szCs w:val="24"/>
        </w:rPr>
        <w:t>among the respondents.</w:t>
      </w:r>
    </w:p>
    <w:p w:rsidR="00F14804" w:rsidRDefault="00F14804" w:rsidP="00F14804">
      <w:pPr>
        <w:spacing w:line="240" w:lineRule="auto"/>
        <w:rPr>
          <w:rFonts w:cs="Times New Roman"/>
          <w:szCs w:val="24"/>
        </w:rPr>
      </w:pPr>
      <w:r w:rsidRPr="00854B91">
        <w:rPr>
          <w:rFonts w:cs="Times New Roman"/>
          <w:szCs w:val="24"/>
        </w:rPr>
        <w:t xml:space="preserve">The correlation strength, though moderate, indicates that autonomy contributes meaningfully to </w:t>
      </w:r>
      <w:r>
        <w:rPr>
          <w:rFonts w:cs="Times New Roman"/>
          <w:szCs w:val="24"/>
        </w:rPr>
        <w:t>employee job satisfaction</w:t>
      </w:r>
      <w:r w:rsidRPr="00854B91">
        <w:rPr>
          <w:rFonts w:cs="Times New Roman"/>
          <w:szCs w:val="24"/>
        </w:rPr>
        <w:t xml:space="preserve"> but does not account for all influencing factors. Greater independence in task management, decision-making, and method selection appears to support measurable improvements in employee </w:t>
      </w:r>
      <w:r>
        <w:rPr>
          <w:rFonts w:cs="Times New Roman"/>
          <w:szCs w:val="24"/>
        </w:rPr>
        <w:t>job satisfaction</w:t>
      </w:r>
      <w:r w:rsidRPr="00854B91">
        <w:rPr>
          <w:rFonts w:cs="Times New Roman"/>
          <w:szCs w:val="24"/>
        </w:rPr>
        <w:t xml:space="preserve">. These results also </w:t>
      </w:r>
      <w:r w:rsidRPr="00747492">
        <w:rPr>
          <w:rFonts w:cs="Times New Roman"/>
          <w:szCs w:val="24"/>
        </w:rPr>
        <w:t>highlight the importance of providing employees with greater decision-making freedom and flexibility in their work roles to enhance satisfaction and overall organizational outcomes</w:t>
      </w:r>
      <w:r>
        <w:rPr>
          <w:rFonts w:cs="Times New Roman"/>
          <w:szCs w:val="24"/>
        </w:rPr>
        <w:t xml:space="preserve">. </w:t>
      </w:r>
      <w:r w:rsidRPr="00854B91">
        <w:rPr>
          <w:rFonts w:cs="Times New Roman"/>
          <w:szCs w:val="24"/>
        </w:rPr>
        <w:t xml:space="preserve">The findings correspond with the work of </w:t>
      </w:r>
      <w:proofErr w:type="spellStart"/>
      <w:r w:rsidRPr="00854B91">
        <w:rPr>
          <w:rFonts w:cs="Times New Roman"/>
          <w:szCs w:val="24"/>
        </w:rPr>
        <w:t>Gözükara</w:t>
      </w:r>
      <w:proofErr w:type="spellEnd"/>
      <w:r w:rsidRPr="00854B91">
        <w:rPr>
          <w:rFonts w:cs="Times New Roman"/>
          <w:szCs w:val="24"/>
        </w:rPr>
        <w:t xml:space="preserve"> &amp; Çolakoğlu (2016)</w:t>
      </w:r>
      <w:r>
        <w:rPr>
          <w:rFonts w:cs="Times New Roman"/>
          <w:szCs w:val="24"/>
        </w:rPr>
        <w:t xml:space="preserve">, and </w:t>
      </w:r>
      <w:proofErr w:type="spellStart"/>
      <w:r w:rsidRPr="000F6FB6">
        <w:rPr>
          <w:rFonts w:cs="Times New Roman"/>
          <w:szCs w:val="24"/>
        </w:rPr>
        <w:t>Zychová</w:t>
      </w:r>
      <w:proofErr w:type="spellEnd"/>
      <w:r>
        <w:rPr>
          <w:rFonts w:cs="Times New Roman"/>
          <w:szCs w:val="24"/>
        </w:rPr>
        <w:t xml:space="preserve"> et al. </w:t>
      </w:r>
      <w:r w:rsidRPr="000F6FB6">
        <w:rPr>
          <w:rFonts w:cs="Times New Roman"/>
          <w:szCs w:val="24"/>
        </w:rPr>
        <w:t>(2024)</w:t>
      </w:r>
      <w:r>
        <w:rPr>
          <w:rFonts w:cs="Times New Roman"/>
          <w:szCs w:val="24"/>
        </w:rPr>
        <w:t xml:space="preserve"> </w:t>
      </w:r>
      <w:r w:rsidRPr="00854B91">
        <w:rPr>
          <w:rFonts w:cs="Times New Roman"/>
          <w:szCs w:val="24"/>
        </w:rPr>
        <w:t xml:space="preserve">who reported similar positive effects of autonomy on </w:t>
      </w:r>
      <w:r>
        <w:rPr>
          <w:rFonts w:cs="Times New Roman"/>
          <w:szCs w:val="24"/>
        </w:rPr>
        <w:t xml:space="preserve">employee </w:t>
      </w:r>
      <w:r w:rsidRPr="00077B22">
        <w:rPr>
          <w:rFonts w:cs="Times New Roman"/>
          <w:szCs w:val="24"/>
        </w:rPr>
        <w:t>job satisfaction</w:t>
      </w:r>
      <w:r w:rsidRPr="00854B91">
        <w:rPr>
          <w:rFonts w:cs="Times New Roman"/>
          <w:szCs w:val="24"/>
        </w:rPr>
        <w:t xml:space="preserve"> across different organizational environments.</w:t>
      </w:r>
    </w:p>
    <w:p w:rsidR="00F14804" w:rsidRPr="000F00DB" w:rsidRDefault="00F14804" w:rsidP="00F14804">
      <w:pPr>
        <w:pStyle w:val="ListParagraph"/>
        <w:numPr>
          <w:ilvl w:val="0"/>
          <w:numId w:val="1"/>
        </w:numPr>
        <w:spacing w:line="240" w:lineRule="auto"/>
        <w:rPr>
          <w:rFonts w:cs="Times New Roman"/>
          <w:b/>
          <w:bCs/>
          <w:szCs w:val="24"/>
        </w:rPr>
      </w:pPr>
      <w:r w:rsidRPr="000F00DB">
        <w:rPr>
          <w:rFonts w:cs="Times New Roman"/>
          <w:b/>
          <w:bCs/>
          <w:szCs w:val="24"/>
        </w:rPr>
        <w:t>Conclusion</w:t>
      </w:r>
    </w:p>
    <w:p w:rsidR="00F14804" w:rsidRPr="000F00DB" w:rsidRDefault="00F14804" w:rsidP="00F14804">
      <w:pPr>
        <w:spacing w:line="240" w:lineRule="auto"/>
        <w:rPr>
          <w:rFonts w:cs="Times New Roman"/>
          <w:szCs w:val="24"/>
        </w:rPr>
      </w:pPr>
      <w:r w:rsidRPr="006F7FE0">
        <w:rPr>
          <w:rFonts w:cs="Times New Roman"/>
          <w:szCs w:val="24"/>
        </w:rPr>
        <w:t xml:space="preserve">This study finds a clear positive link between job autonomy and job satisfaction, with higher discretion in how work is done associated with greater reported satisfaction. </w:t>
      </w:r>
      <w:r>
        <w:rPr>
          <w:rFonts w:cs="Times New Roman"/>
          <w:szCs w:val="24"/>
        </w:rPr>
        <w:t>Anchored</w:t>
      </w:r>
      <w:r w:rsidRPr="006F7FE0">
        <w:rPr>
          <w:rFonts w:cs="Times New Roman"/>
          <w:szCs w:val="24"/>
        </w:rPr>
        <w:t xml:space="preserve"> by Self-Determination Theory and Herzberg’s Two-Factor Theory, autonomy supports intrinsic motivation and strengthens employees’ sense of responsibility, competence and meaningful engagement. Thoughtful job design, including role mapping, task restructuring and technological </w:t>
      </w:r>
      <w:r w:rsidRPr="006F7FE0">
        <w:rPr>
          <w:rFonts w:cs="Times New Roman"/>
          <w:szCs w:val="24"/>
        </w:rPr>
        <w:lastRenderedPageBreak/>
        <w:t>shifts toward problem solving, helps create conditions for useful discretion. The observed correlation is moderate and accounts for a meaningful share of the variation in satisfaction while most variation remains due to other factors. The quantitative</w:t>
      </w:r>
      <w:r>
        <w:rPr>
          <w:rFonts w:cs="Times New Roman"/>
          <w:szCs w:val="24"/>
        </w:rPr>
        <w:t xml:space="preserve"> result </w:t>
      </w:r>
      <w:r w:rsidRPr="006F7FE0">
        <w:rPr>
          <w:rFonts w:cs="Times New Roman"/>
          <w:szCs w:val="24"/>
        </w:rPr>
        <w:t>show</w:t>
      </w:r>
      <w:r>
        <w:rPr>
          <w:rFonts w:cs="Times New Roman"/>
          <w:szCs w:val="24"/>
        </w:rPr>
        <w:t>ed</w:t>
      </w:r>
      <w:r w:rsidRPr="006F7FE0">
        <w:rPr>
          <w:rFonts w:cs="Times New Roman"/>
          <w:szCs w:val="24"/>
        </w:rPr>
        <w:t xml:space="preserve"> a substantive relationship between how jobs are arranged and how employees feel about their work. These findings improve understanding of the link between job conditions and employee attitudes.</w:t>
      </w:r>
    </w:p>
    <w:p w:rsidR="00F14804" w:rsidRPr="000F00DB" w:rsidRDefault="00F14804" w:rsidP="00F14804">
      <w:pPr>
        <w:pStyle w:val="ListParagraph"/>
        <w:numPr>
          <w:ilvl w:val="0"/>
          <w:numId w:val="1"/>
        </w:numPr>
        <w:spacing w:line="240" w:lineRule="auto"/>
        <w:rPr>
          <w:rFonts w:cs="Times New Roman"/>
          <w:b/>
          <w:bCs/>
          <w:szCs w:val="24"/>
        </w:rPr>
      </w:pPr>
      <w:r w:rsidRPr="000F00DB">
        <w:rPr>
          <w:rFonts w:cs="Times New Roman"/>
          <w:b/>
          <w:bCs/>
          <w:szCs w:val="24"/>
        </w:rPr>
        <w:t>Recommendations</w:t>
      </w:r>
    </w:p>
    <w:p w:rsidR="00F14804" w:rsidRDefault="00F14804" w:rsidP="00F14804">
      <w:pPr>
        <w:spacing w:line="240" w:lineRule="auto"/>
        <w:rPr>
          <w:rFonts w:cs="Times New Roman"/>
          <w:szCs w:val="24"/>
        </w:rPr>
      </w:pPr>
      <w:r w:rsidRPr="006F7FE0">
        <w:rPr>
          <w:rFonts w:cs="Times New Roman"/>
          <w:szCs w:val="24"/>
        </w:rPr>
        <w:t>To enhance employee job satisfaction, it is recommended that FIRS and other corporate organizations should review job structures to identify roles where discretion can be expanded safely and pilot autonomy initiatives in selected units. When increasing discretion, set clear expectations, offer timely feedback and provide targeted training so staff can use autonomy effectively. Make sure necessary resources and supportive supervision accompany changes in decision rights to prevent overload and confusion. Track results with regular staff surveys and performance indicators and use those findings to refine where autonomy works best. Maintain fair pay, predictable policies and decent working conditions so increased discretion translates into better employee attitudes. Consider phased implementation and open communication from managers to help staff adjust and sustain the changes.</w:t>
      </w:r>
    </w:p>
    <w:p w:rsidR="00F14804" w:rsidRDefault="00F14804" w:rsidP="00F14804">
      <w:pPr>
        <w:spacing w:line="240" w:lineRule="auto"/>
        <w:rPr>
          <w:rFonts w:cs="Times New Roman"/>
          <w:b/>
          <w:bCs/>
          <w:szCs w:val="24"/>
        </w:rPr>
      </w:pPr>
      <w:r>
        <w:rPr>
          <w:rFonts w:cs="Times New Roman"/>
          <w:b/>
          <w:bCs/>
          <w:szCs w:val="24"/>
        </w:rPr>
        <w:t>References</w:t>
      </w:r>
    </w:p>
    <w:p w:rsidR="00F14804" w:rsidRPr="008213FA" w:rsidRDefault="00F14804" w:rsidP="00F14804">
      <w:pPr>
        <w:spacing w:line="240" w:lineRule="auto"/>
        <w:ind w:left="720" w:hanging="720"/>
        <w:rPr>
          <w:rFonts w:cs="Times New Roman"/>
          <w:szCs w:val="24"/>
        </w:rPr>
      </w:pPr>
      <w:r w:rsidRPr="008213FA">
        <w:rPr>
          <w:rFonts w:cs="Times New Roman"/>
          <w:szCs w:val="24"/>
        </w:rPr>
        <w:t>Abraham, K. M., Erickson, P. S., Sata, M. J., &amp; Lewis, S. B. (2022). Job satisfaction and burnout among peer support specialists: the contributions of supervisory mentorship, recovery-oriented workplaces, and role clarity. </w:t>
      </w:r>
      <w:r w:rsidRPr="008213FA">
        <w:rPr>
          <w:rFonts w:cs="Times New Roman"/>
          <w:i/>
          <w:iCs/>
          <w:szCs w:val="24"/>
        </w:rPr>
        <w:t>Advances in Mental Health</w:t>
      </w:r>
      <w:r w:rsidRPr="008213FA">
        <w:rPr>
          <w:rFonts w:cs="Times New Roman"/>
          <w:szCs w:val="24"/>
        </w:rPr>
        <w:t>, </w:t>
      </w:r>
      <w:r w:rsidRPr="008213FA">
        <w:rPr>
          <w:rFonts w:cs="Times New Roman"/>
          <w:i/>
          <w:iCs/>
          <w:szCs w:val="24"/>
        </w:rPr>
        <w:t>20</w:t>
      </w:r>
      <w:r w:rsidRPr="008213FA">
        <w:rPr>
          <w:rFonts w:cs="Times New Roman"/>
          <w:szCs w:val="24"/>
        </w:rPr>
        <w:t>(1), 38-50.</w:t>
      </w:r>
    </w:p>
    <w:p w:rsidR="00F14804" w:rsidRPr="008213FA" w:rsidRDefault="00F14804" w:rsidP="00F14804">
      <w:pPr>
        <w:spacing w:line="240" w:lineRule="auto"/>
        <w:ind w:left="720" w:hanging="720"/>
        <w:rPr>
          <w:rFonts w:cs="Times New Roman"/>
          <w:szCs w:val="24"/>
        </w:rPr>
      </w:pPr>
      <w:bookmarkStart w:id="1" w:name="_Hlk211683168"/>
      <w:proofErr w:type="spellStart"/>
      <w:r w:rsidRPr="008213FA">
        <w:rPr>
          <w:rFonts w:cs="Times New Roman"/>
          <w:szCs w:val="24"/>
        </w:rPr>
        <w:t>Alshmemri</w:t>
      </w:r>
      <w:proofErr w:type="spellEnd"/>
      <w:r w:rsidRPr="008213FA">
        <w:rPr>
          <w:rFonts w:cs="Times New Roman"/>
          <w:szCs w:val="24"/>
        </w:rPr>
        <w:t>, M., Shahwan-Akl, L., &amp; Maude, P. (2017)</w:t>
      </w:r>
      <w:bookmarkEnd w:id="1"/>
      <w:r w:rsidRPr="008213FA">
        <w:rPr>
          <w:rFonts w:cs="Times New Roman"/>
          <w:szCs w:val="24"/>
        </w:rPr>
        <w:t>. Herzberg’s two-factor theory. </w:t>
      </w:r>
      <w:r w:rsidRPr="008213FA">
        <w:rPr>
          <w:rFonts w:cs="Times New Roman"/>
          <w:i/>
          <w:iCs/>
          <w:szCs w:val="24"/>
        </w:rPr>
        <w:t>Life Science Journal</w:t>
      </w:r>
      <w:r w:rsidRPr="008213FA">
        <w:rPr>
          <w:rFonts w:cs="Times New Roman"/>
          <w:szCs w:val="24"/>
        </w:rPr>
        <w:t>, </w:t>
      </w:r>
      <w:r w:rsidRPr="008213FA">
        <w:rPr>
          <w:rFonts w:cs="Times New Roman"/>
          <w:i/>
          <w:iCs/>
          <w:szCs w:val="24"/>
        </w:rPr>
        <w:t>14</w:t>
      </w:r>
      <w:r w:rsidRPr="008213FA">
        <w:rPr>
          <w:rFonts w:cs="Times New Roman"/>
          <w:szCs w:val="24"/>
        </w:rPr>
        <w:t>(5), 12-16.</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Anual</w:t>
      </w:r>
      <w:proofErr w:type="spellEnd"/>
      <w:r w:rsidRPr="008213FA">
        <w:rPr>
          <w:rFonts w:cs="Times New Roman"/>
          <w:szCs w:val="24"/>
        </w:rPr>
        <w:t>, N., Zamri, M. N., Zakaria, I., &amp; Karim, Z. H. A. (2023). The relationship between job autonomy and job satisfaction in telecommunication industry: a case study of Telekom Malaysia. </w:t>
      </w:r>
      <w:r w:rsidRPr="008213FA">
        <w:rPr>
          <w:rFonts w:cs="Times New Roman"/>
          <w:i/>
          <w:iCs/>
          <w:szCs w:val="24"/>
        </w:rPr>
        <w:t>International Journal of Academic Research in Business and Social Sciences</w:t>
      </w:r>
      <w:r w:rsidRPr="008213FA">
        <w:rPr>
          <w:rFonts w:cs="Times New Roman"/>
          <w:szCs w:val="24"/>
        </w:rPr>
        <w:t>, </w:t>
      </w:r>
      <w:r w:rsidRPr="008213FA">
        <w:rPr>
          <w:rFonts w:cs="Times New Roman"/>
          <w:i/>
          <w:iCs/>
          <w:szCs w:val="24"/>
        </w:rPr>
        <w:t>13</w:t>
      </w:r>
      <w:r w:rsidRPr="008213FA">
        <w:rPr>
          <w:rFonts w:cs="Times New Roman"/>
          <w:szCs w:val="24"/>
        </w:rPr>
        <w:t>(6), 1229-1241.</w:t>
      </w:r>
    </w:p>
    <w:p w:rsidR="00F14804" w:rsidRPr="008213FA" w:rsidRDefault="00F14804" w:rsidP="00F14804">
      <w:pPr>
        <w:spacing w:line="240" w:lineRule="auto"/>
        <w:ind w:left="720" w:hanging="720"/>
        <w:rPr>
          <w:rFonts w:cs="Times New Roman"/>
          <w:szCs w:val="24"/>
        </w:rPr>
      </w:pPr>
      <w:bookmarkStart w:id="2" w:name="_Hlk211682304"/>
      <w:r w:rsidRPr="008213FA">
        <w:rPr>
          <w:rFonts w:cs="Times New Roman"/>
          <w:szCs w:val="24"/>
        </w:rPr>
        <w:t>Autin, K. L., Herdt, M. E., Garcia, R. G., &amp; Ezema, G. N. (2022)</w:t>
      </w:r>
      <w:bookmarkEnd w:id="2"/>
      <w:r w:rsidRPr="008213FA">
        <w:rPr>
          <w:rFonts w:cs="Times New Roman"/>
          <w:szCs w:val="24"/>
        </w:rPr>
        <w:t>. Basic psychological need satisfaction, autonomous motivation, and meaningful work: A self-determination theory perspective. </w:t>
      </w:r>
      <w:r w:rsidRPr="008213FA">
        <w:rPr>
          <w:rFonts w:cs="Times New Roman"/>
          <w:i/>
          <w:iCs/>
          <w:szCs w:val="24"/>
        </w:rPr>
        <w:t>Journal of Career Assessment</w:t>
      </w:r>
      <w:r w:rsidRPr="008213FA">
        <w:rPr>
          <w:rFonts w:cs="Times New Roman"/>
          <w:szCs w:val="24"/>
        </w:rPr>
        <w:t>, </w:t>
      </w:r>
      <w:r w:rsidRPr="008213FA">
        <w:rPr>
          <w:rFonts w:cs="Times New Roman"/>
          <w:i/>
          <w:iCs/>
          <w:szCs w:val="24"/>
        </w:rPr>
        <w:t>30</w:t>
      </w:r>
      <w:r w:rsidRPr="008213FA">
        <w:rPr>
          <w:rFonts w:cs="Times New Roman"/>
          <w:szCs w:val="24"/>
        </w:rPr>
        <w:t>(1), 78-93.</w:t>
      </w:r>
    </w:p>
    <w:p w:rsidR="00F14804" w:rsidRPr="008213FA" w:rsidRDefault="00F14804" w:rsidP="00F14804">
      <w:pPr>
        <w:spacing w:line="240" w:lineRule="auto"/>
        <w:ind w:left="720" w:hanging="720"/>
        <w:rPr>
          <w:rFonts w:cs="Times New Roman"/>
          <w:szCs w:val="24"/>
        </w:rPr>
      </w:pPr>
      <w:r w:rsidRPr="008213FA">
        <w:rPr>
          <w:rFonts w:cs="Times New Roman"/>
          <w:szCs w:val="24"/>
        </w:rPr>
        <w:t>Bradfield, B. M. (2024). </w:t>
      </w:r>
      <w:r w:rsidRPr="008213FA">
        <w:rPr>
          <w:rFonts w:cs="Times New Roman"/>
          <w:i/>
          <w:iCs/>
          <w:szCs w:val="24"/>
        </w:rPr>
        <w:t>The Impact of Self-determination Theory on Employee Retention, Motivation, and Satisfaction in a Small Business in the Upper Midwest</w:t>
      </w:r>
      <w:r w:rsidRPr="008213FA">
        <w:rPr>
          <w:rFonts w:cs="Times New Roman"/>
          <w:szCs w:val="24"/>
        </w:rPr>
        <w:t> (Doctoral dissertation, University of Sioux Falls).</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Brandmo</w:t>
      </w:r>
      <w:proofErr w:type="spellEnd"/>
      <w:r w:rsidRPr="008213FA">
        <w:rPr>
          <w:rFonts w:cs="Times New Roman"/>
          <w:szCs w:val="24"/>
        </w:rPr>
        <w:t xml:space="preserve">, C., </w:t>
      </w:r>
      <w:proofErr w:type="spellStart"/>
      <w:r w:rsidRPr="008213FA">
        <w:rPr>
          <w:rFonts w:cs="Times New Roman"/>
          <w:szCs w:val="24"/>
        </w:rPr>
        <w:t>Tiplic</w:t>
      </w:r>
      <w:proofErr w:type="spellEnd"/>
      <w:r w:rsidRPr="008213FA">
        <w:rPr>
          <w:rFonts w:cs="Times New Roman"/>
          <w:szCs w:val="24"/>
        </w:rPr>
        <w:t>, D., &amp; Elstad, E. (2021). Antecedents of department heads’ job autonomy, role clarity, and self-efficacy for instructional leadership. </w:t>
      </w:r>
      <w:r w:rsidRPr="008213FA">
        <w:rPr>
          <w:rFonts w:cs="Times New Roman"/>
          <w:i/>
          <w:iCs/>
          <w:szCs w:val="24"/>
        </w:rPr>
        <w:t>International Journal of Leadership in Education</w:t>
      </w:r>
      <w:r w:rsidRPr="008213FA">
        <w:rPr>
          <w:rFonts w:cs="Times New Roman"/>
          <w:szCs w:val="24"/>
        </w:rPr>
        <w:t>, </w:t>
      </w:r>
      <w:r w:rsidRPr="008213FA">
        <w:rPr>
          <w:rFonts w:cs="Times New Roman"/>
          <w:i/>
          <w:iCs/>
          <w:szCs w:val="24"/>
        </w:rPr>
        <w:t>24</w:t>
      </w:r>
      <w:r w:rsidRPr="008213FA">
        <w:rPr>
          <w:rFonts w:cs="Times New Roman"/>
          <w:szCs w:val="24"/>
        </w:rPr>
        <w:t>(3), 411-430.</w:t>
      </w:r>
    </w:p>
    <w:p w:rsidR="00F14804" w:rsidRPr="008213FA" w:rsidRDefault="00F14804" w:rsidP="00F14804">
      <w:pPr>
        <w:spacing w:line="240" w:lineRule="auto"/>
        <w:ind w:left="720" w:hanging="720"/>
        <w:rPr>
          <w:rFonts w:cs="Times New Roman"/>
          <w:szCs w:val="24"/>
        </w:rPr>
      </w:pPr>
      <w:bookmarkStart w:id="3" w:name="_Hlk211596616"/>
      <w:r w:rsidRPr="008213FA">
        <w:rPr>
          <w:rFonts w:cs="Times New Roman"/>
          <w:szCs w:val="24"/>
        </w:rPr>
        <w:t xml:space="preserve">Cerasoli, C. P., Nicklin, J. M., &amp; </w:t>
      </w:r>
      <w:proofErr w:type="spellStart"/>
      <w:r w:rsidRPr="008213FA">
        <w:rPr>
          <w:rFonts w:cs="Times New Roman"/>
          <w:szCs w:val="24"/>
        </w:rPr>
        <w:t>Nassrelgrgawi</w:t>
      </w:r>
      <w:proofErr w:type="spellEnd"/>
      <w:r w:rsidRPr="008213FA">
        <w:rPr>
          <w:rFonts w:cs="Times New Roman"/>
          <w:szCs w:val="24"/>
        </w:rPr>
        <w:t>, A. S. (2016)</w:t>
      </w:r>
      <w:bookmarkEnd w:id="3"/>
      <w:r w:rsidRPr="008213FA">
        <w:rPr>
          <w:rFonts w:cs="Times New Roman"/>
          <w:szCs w:val="24"/>
        </w:rPr>
        <w:t>. Performance, incentives, and needs for autonomy, competence, and relatedness: A meta-analysis. </w:t>
      </w:r>
      <w:r w:rsidRPr="008213FA">
        <w:rPr>
          <w:rFonts w:cs="Times New Roman"/>
          <w:i/>
          <w:iCs/>
          <w:szCs w:val="24"/>
        </w:rPr>
        <w:t>Motivation and emotion</w:t>
      </w:r>
      <w:r w:rsidRPr="008213FA">
        <w:rPr>
          <w:rFonts w:cs="Times New Roman"/>
          <w:szCs w:val="24"/>
        </w:rPr>
        <w:t>, </w:t>
      </w:r>
      <w:r w:rsidRPr="008213FA">
        <w:rPr>
          <w:rFonts w:cs="Times New Roman"/>
          <w:i/>
          <w:iCs/>
          <w:szCs w:val="24"/>
        </w:rPr>
        <w:t>40</w:t>
      </w:r>
      <w:r w:rsidRPr="008213FA">
        <w:rPr>
          <w:rFonts w:cs="Times New Roman"/>
          <w:szCs w:val="24"/>
        </w:rPr>
        <w:t>(6), 781-813.</w:t>
      </w:r>
    </w:p>
    <w:p w:rsidR="00F14804" w:rsidRPr="008213FA" w:rsidRDefault="00F14804" w:rsidP="00F14804">
      <w:pPr>
        <w:spacing w:line="240" w:lineRule="auto"/>
        <w:ind w:left="720" w:hanging="720"/>
        <w:rPr>
          <w:rFonts w:cs="Times New Roman"/>
          <w:szCs w:val="24"/>
        </w:rPr>
      </w:pPr>
      <w:r w:rsidRPr="008213FA">
        <w:rPr>
          <w:rFonts w:cs="Times New Roman"/>
          <w:szCs w:val="24"/>
        </w:rPr>
        <w:lastRenderedPageBreak/>
        <w:t xml:space="preserve">Daniels, K., </w:t>
      </w:r>
      <w:proofErr w:type="spellStart"/>
      <w:r w:rsidRPr="008213FA">
        <w:rPr>
          <w:rFonts w:cs="Times New Roman"/>
          <w:szCs w:val="24"/>
        </w:rPr>
        <w:t>Gedikli</w:t>
      </w:r>
      <w:proofErr w:type="spellEnd"/>
      <w:r w:rsidRPr="008213FA">
        <w:rPr>
          <w:rFonts w:cs="Times New Roman"/>
          <w:szCs w:val="24"/>
        </w:rPr>
        <w:t xml:space="preserve">, C., Watson, D., </w:t>
      </w:r>
      <w:proofErr w:type="spellStart"/>
      <w:r w:rsidRPr="008213FA">
        <w:rPr>
          <w:rFonts w:cs="Times New Roman"/>
          <w:szCs w:val="24"/>
        </w:rPr>
        <w:t>Semkina</w:t>
      </w:r>
      <w:proofErr w:type="spellEnd"/>
      <w:r w:rsidRPr="008213FA">
        <w:rPr>
          <w:rFonts w:cs="Times New Roman"/>
          <w:szCs w:val="24"/>
        </w:rPr>
        <w:t>, A., &amp; Vaughn, O. (2017). Job design, employment practices and well-being: A systematic review of intervention studies. </w:t>
      </w:r>
      <w:r w:rsidRPr="008213FA">
        <w:rPr>
          <w:rFonts w:cs="Times New Roman"/>
          <w:i/>
          <w:iCs/>
          <w:szCs w:val="24"/>
        </w:rPr>
        <w:t>Ergonomics</w:t>
      </w:r>
      <w:r w:rsidRPr="008213FA">
        <w:rPr>
          <w:rFonts w:cs="Times New Roman"/>
          <w:szCs w:val="24"/>
        </w:rPr>
        <w:t>, </w:t>
      </w:r>
      <w:r w:rsidRPr="008213FA">
        <w:rPr>
          <w:rFonts w:cs="Times New Roman"/>
          <w:i/>
          <w:iCs/>
          <w:szCs w:val="24"/>
        </w:rPr>
        <w:t>60</w:t>
      </w:r>
      <w:r w:rsidRPr="008213FA">
        <w:rPr>
          <w:rFonts w:cs="Times New Roman"/>
          <w:szCs w:val="24"/>
        </w:rPr>
        <w:t>(9), 1177-1196.</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De </w:t>
      </w:r>
      <w:proofErr w:type="spellStart"/>
      <w:r w:rsidRPr="008213FA">
        <w:rPr>
          <w:rFonts w:cs="Times New Roman"/>
          <w:szCs w:val="24"/>
        </w:rPr>
        <w:t>Spiegelaere</w:t>
      </w:r>
      <w:proofErr w:type="spellEnd"/>
      <w:r w:rsidRPr="008213FA">
        <w:rPr>
          <w:rFonts w:cs="Times New Roman"/>
          <w:szCs w:val="24"/>
        </w:rPr>
        <w:t xml:space="preserve">, S., Van </w:t>
      </w:r>
      <w:proofErr w:type="spellStart"/>
      <w:r w:rsidRPr="008213FA">
        <w:rPr>
          <w:rFonts w:cs="Times New Roman"/>
          <w:szCs w:val="24"/>
        </w:rPr>
        <w:t>Gyes</w:t>
      </w:r>
      <w:proofErr w:type="spellEnd"/>
      <w:r w:rsidRPr="008213FA">
        <w:rPr>
          <w:rFonts w:cs="Times New Roman"/>
          <w:szCs w:val="24"/>
        </w:rPr>
        <w:t xml:space="preserve">, G., &amp; Van </w:t>
      </w:r>
      <w:proofErr w:type="spellStart"/>
      <w:r w:rsidRPr="008213FA">
        <w:rPr>
          <w:rFonts w:cs="Times New Roman"/>
          <w:szCs w:val="24"/>
        </w:rPr>
        <w:t>Hootegem</w:t>
      </w:r>
      <w:proofErr w:type="spellEnd"/>
      <w:r w:rsidRPr="008213FA">
        <w:rPr>
          <w:rFonts w:cs="Times New Roman"/>
          <w:szCs w:val="24"/>
        </w:rPr>
        <w:t xml:space="preserve">, G. (2016). Not all autonomy is the same. Different dimensions of job autonomy and their relation to work engagement &amp; innovative work </w:t>
      </w:r>
      <w:proofErr w:type="spellStart"/>
      <w:r w:rsidRPr="008213FA">
        <w:rPr>
          <w:rFonts w:cs="Times New Roman"/>
          <w:szCs w:val="24"/>
        </w:rPr>
        <w:t>behavior</w:t>
      </w:r>
      <w:proofErr w:type="spellEnd"/>
      <w:r w:rsidRPr="008213FA">
        <w:rPr>
          <w:rFonts w:cs="Times New Roman"/>
          <w:szCs w:val="24"/>
        </w:rPr>
        <w:t>. </w:t>
      </w:r>
      <w:r w:rsidRPr="008213FA">
        <w:rPr>
          <w:rFonts w:cs="Times New Roman"/>
          <w:i/>
          <w:iCs/>
          <w:szCs w:val="24"/>
        </w:rPr>
        <w:t>Human Factors and Ergonomics in Manufacturing &amp; Service Industries</w:t>
      </w:r>
      <w:r w:rsidRPr="008213FA">
        <w:rPr>
          <w:rFonts w:cs="Times New Roman"/>
          <w:szCs w:val="24"/>
        </w:rPr>
        <w:t>, </w:t>
      </w:r>
      <w:r w:rsidRPr="008213FA">
        <w:rPr>
          <w:rFonts w:cs="Times New Roman"/>
          <w:i/>
          <w:iCs/>
          <w:szCs w:val="24"/>
        </w:rPr>
        <w:t>26</w:t>
      </w:r>
      <w:r w:rsidRPr="008213FA">
        <w:rPr>
          <w:rFonts w:cs="Times New Roman"/>
          <w:szCs w:val="24"/>
        </w:rPr>
        <w:t>(4), 515-527.</w:t>
      </w:r>
    </w:p>
    <w:p w:rsidR="00F14804" w:rsidRPr="008213FA" w:rsidRDefault="00F14804" w:rsidP="00F14804">
      <w:pPr>
        <w:spacing w:line="240" w:lineRule="auto"/>
        <w:ind w:left="720" w:hanging="720"/>
        <w:rPr>
          <w:rFonts w:cs="Times New Roman"/>
          <w:szCs w:val="24"/>
        </w:rPr>
      </w:pPr>
      <w:bookmarkStart w:id="4" w:name="_Hlk211613317"/>
      <w:proofErr w:type="spellStart"/>
      <w:r w:rsidRPr="008213FA">
        <w:rPr>
          <w:rFonts w:cs="Times New Roman"/>
          <w:szCs w:val="24"/>
        </w:rPr>
        <w:t>Demircioglu</w:t>
      </w:r>
      <w:proofErr w:type="spellEnd"/>
      <w:r w:rsidRPr="008213FA">
        <w:rPr>
          <w:rFonts w:cs="Times New Roman"/>
          <w:szCs w:val="24"/>
        </w:rPr>
        <w:t>,</w:t>
      </w:r>
      <w:bookmarkEnd w:id="4"/>
      <w:r w:rsidRPr="008213FA">
        <w:rPr>
          <w:rFonts w:cs="Times New Roman"/>
          <w:szCs w:val="24"/>
        </w:rPr>
        <w:t xml:space="preserve"> M. A. (2021). Sources of innovation, autonomy, and employee job satisfaction in public organizations. </w:t>
      </w:r>
      <w:r w:rsidRPr="008213FA">
        <w:rPr>
          <w:rFonts w:cs="Times New Roman"/>
          <w:i/>
          <w:iCs/>
          <w:szCs w:val="24"/>
        </w:rPr>
        <w:t>Public Performance &amp; Management Review</w:t>
      </w:r>
      <w:r w:rsidRPr="008213FA">
        <w:rPr>
          <w:rFonts w:cs="Times New Roman"/>
          <w:szCs w:val="24"/>
        </w:rPr>
        <w:t>, </w:t>
      </w:r>
      <w:r w:rsidRPr="008213FA">
        <w:rPr>
          <w:rFonts w:cs="Times New Roman"/>
          <w:i/>
          <w:iCs/>
          <w:szCs w:val="24"/>
        </w:rPr>
        <w:t>44</w:t>
      </w:r>
      <w:r w:rsidRPr="008213FA">
        <w:rPr>
          <w:rFonts w:cs="Times New Roman"/>
          <w:szCs w:val="24"/>
        </w:rPr>
        <w:t>(1), 155-186.</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Dettmers, J., &amp; </w:t>
      </w:r>
      <w:proofErr w:type="spellStart"/>
      <w:r w:rsidRPr="008213FA">
        <w:rPr>
          <w:rFonts w:cs="Times New Roman"/>
          <w:szCs w:val="24"/>
        </w:rPr>
        <w:t>Bredehöft</w:t>
      </w:r>
      <w:proofErr w:type="spellEnd"/>
      <w:r w:rsidRPr="008213FA">
        <w:rPr>
          <w:rFonts w:cs="Times New Roman"/>
          <w:szCs w:val="24"/>
        </w:rPr>
        <w:t>, F. (2020). The ambivalence of job autonomy and the role of job design demands. </w:t>
      </w:r>
      <w:r w:rsidRPr="008213FA">
        <w:rPr>
          <w:rFonts w:cs="Times New Roman"/>
          <w:i/>
          <w:iCs/>
          <w:szCs w:val="24"/>
        </w:rPr>
        <w:t>Scandinavian Journal of Work and Organizational Psychology</w:t>
      </w:r>
      <w:r w:rsidRPr="008213FA">
        <w:rPr>
          <w:rFonts w:cs="Times New Roman"/>
          <w:szCs w:val="24"/>
        </w:rPr>
        <w:t>, </w:t>
      </w:r>
      <w:r w:rsidRPr="008213FA">
        <w:rPr>
          <w:rFonts w:cs="Times New Roman"/>
          <w:i/>
          <w:iCs/>
          <w:szCs w:val="24"/>
        </w:rPr>
        <w:t>5</w:t>
      </w:r>
      <w:r w:rsidRPr="008213FA">
        <w:rPr>
          <w:rFonts w:cs="Times New Roman"/>
          <w:szCs w:val="24"/>
        </w:rPr>
        <w:t>(1).</w:t>
      </w:r>
    </w:p>
    <w:p w:rsidR="00F14804" w:rsidRPr="008213FA" w:rsidRDefault="00F14804" w:rsidP="00F14804">
      <w:pPr>
        <w:spacing w:line="240" w:lineRule="auto"/>
        <w:ind w:left="720" w:hanging="720"/>
        <w:rPr>
          <w:rFonts w:cs="Times New Roman"/>
          <w:szCs w:val="24"/>
        </w:rPr>
      </w:pPr>
      <w:bookmarkStart w:id="5" w:name="_Hlk211613486"/>
      <w:proofErr w:type="spellStart"/>
      <w:r w:rsidRPr="008213FA">
        <w:rPr>
          <w:rFonts w:cs="Times New Roman"/>
          <w:szCs w:val="24"/>
        </w:rPr>
        <w:t>Doblinger</w:t>
      </w:r>
      <w:proofErr w:type="spellEnd"/>
      <w:r w:rsidRPr="008213FA">
        <w:rPr>
          <w:rFonts w:cs="Times New Roman"/>
          <w:szCs w:val="24"/>
        </w:rPr>
        <w:t>,</w:t>
      </w:r>
      <w:bookmarkEnd w:id="5"/>
      <w:r w:rsidRPr="008213FA">
        <w:rPr>
          <w:rFonts w:cs="Times New Roman"/>
          <w:szCs w:val="24"/>
        </w:rPr>
        <w:t xml:space="preserve"> M. (2023). Autonomy and engagement in self-managing organizations: exploring the relations with job crafting, error orientation and person-environment fit. </w:t>
      </w:r>
      <w:r w:rsidRPr="008213FA">
        <w:rPr>
          <w:rFonts w:cs="Times New Roman"/>
          <w:i/>
          <w:iCs/>
          <w:szCs w:val="24"/>
        </w:rPr>
        <w:t>Frontiers in psychology</w:t>
      </w:r>
      <w:r w:rsidRPr="008213FA">
        <w:rPr>
          <w:rFonts w:cs="Times New Roman"/>
          <w:szCs w:val="24"/>
        </w:rPr>
        <w:t>, </w:t>
      </w:r>
      <w:r w:rsidRPr="008213FA">
        <w:rPr>
          <w:rFonts w:cs="Times New Roman"/>
          <w:i/>
          <w:iCs/>
          <w:szCs w:val="24"/>
        </w:rPr>
        <w:t>14</w:t>
      </w:r>
      <w:r w:rsidRPr="008213FA">
        <w:rPr>
          <w:rFonts w:cs="Times New Roman"/>
          <w:szCs w:val="24"/>
        </w:rPr>
        <w:t>, 1198196.</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Dysvik</w:t>
      </w:r>
      <w:proofErr w:type="spellEnd"/>
      <w:r w:rsidRPr="008213FA">
        <w:rPr>
          <w:rFonts w:cs="Times New Roman"/>
          <w:szCs w:val="24"/>
        </w:rPr>
        <w:t xml:space="preserve">, A., &amp; </w:t>
      </w:r>
      <w:proofErr w:type="spellStart"/>
      <w:r w:rsidRPr="008213FA">
        <w:rPr>
          <w:rFonts w:cs="Times New Roman"/>
          <w:szCs w:val="24"/>
        </w:rPr>
        <w:t>Kuvaas</w:t>
      </w:r>
      <w:proofErr w:type="spellEnd"/>
      <w:r w:rsidRPr="008213FA">
        <w:rPr>
          <w:rFonts w:cs="Times New Roman"/>
          <w:szCs w:val="24"/>
        </w:rPr>
        <w:t>, B. (2013). Perceived job autonomy and turnover intention: The moderating role of perceived supervisor support. </w:t>
      </w:r>
      <w:r w:rsidRPr="008213FA">
        <w:rPr>
          <w:rFonts w:cs="Times New Roman"/>
          <w:i/>
          <w:iCs/>
          <w:szCs w:val="24"/>
        </w:rPr>
        <w:t>European Journal of Work and Organizational Psychology</w:t>
      </w:r>
      <w:r w:rsidRPr="008213FA">
        <w:rPr>
          <w:rFonts w:cs="Times New Roman"/>
          <w:szCs w:val="24"/>
        </w:rPr>
        <w:t>, </w:t>
      </w:r>
      <w:r w:rsidRPr="008213FA">
        <w:rPr>
          <w:rFonts w:cs="Times New Roman"/>
          <w:i/>
          <w:iCs/>
          <w:szCs w:val="24"/>
        </w:rPr>
        <w:t>22</w:t>
      </w:r>
      <w:r w:rsidRPr="008213FA">
        <w:rPr>
          <w:rFonts w:cs="Times New Roman"/>
          <w:szCs w:val="24"/>
        </w:rPr>
        <w:t>(5), 563-573.</w:t>
      </w:r>
    </w:p>
    <w:p w:rsidR="00F14804" w:rsidRPr="008213FA" w:rsidRDefault="00F14804" w:rsidP="00F14804">
      <w:pPr>
        <w:spacing w:line="240" w:lineRule="auto"/>
        <w:ind w:left="720" w:hanging="720"/>
        <w:rPr>
          <w:rFonts w:cs="Times New Roman"/>
          <w:szCs w:val="24"/>
        </w:rPr>
      </w:pPr>
      <w:r w:rsidRPr="008213FA">
        <w:rPr>
          <w:rFonts w:cs="Times New Roman"/>
          <w:szCs w:val="24"/>
        </w:rPr>
        <w:t>Escudero-Guirado, C., Fernández-Rodríguez, L., &amp; Nájera-Sánchez, J. J. (2024). Incorporating gendered analysis and flexibility in heavy work investment studies: a systematic literature review. </w:t>
      </w:r>
      <w:r w:rsidRPr="008213FA">
        <w:rPr>
          <w:rFonts w:cs="Times New Roman"/>
          <w:i/>
          <w:iCs/>
          <w:szCs w:val="24"/>
        </w:rPr>
        <w:t>Frontiers in Psychology</w:t>
      </w:r>
      <w:r w:rsidRPr="008213FA">
        <w:rPr>
          <w:rFonts w:cs="Times New Roman"/>
          <w:szCs w:val="24"/>
        </w:rPr>
        <w:t>, </w:t>
      </w:r>
      <w:r w:rsidRPr="008213FA">
        <w:rPr>
          <w:rFonts w:cs="Times New Roman"/>
          <w:i/>
          <w:iCs/>
          <w:szCs w:val="24"/>
        </w:rPr>
        <w:t>15</w:t>
      </w:r>
      <w:r w:rsidRPr="008213FA">
        <w:rPr>
          <w:rFonts w:cs="Times New Roman"/>
          <w:szCs w:val="24"/>
        </w:rPr>
        <w:t>, 1401201.</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Fastina, M. M., Banu, S. R., &amp; </w:t>
      </w:r>
      <w:proofErr w:type="spellStart"/>
      <w:r w:rsidRPr="008213FA">
        <w:rPr>
          <w:rFonts w:cs="Times New Roman"/>
          <w:szCs w:val="24"/>
        </w:rPr>
        <w:t>Jayakani</w:t>
      </w:r>
      <w:proofErr w:type="spellEnd"/>
      <w:r w:rsidRPr="008213FA">
        <w:rPr>
          <w:rFonts w:cs="Times New Roman"/>
          <w:szCs w:val="24"/>
        </w:rPr>
        <w:t xml:space="preserve">, S. (2024). </w:t>
      </w:r>
      <w:r w:rsidRPr="008213FA">
        <w:rPr>
          <w:rFonts w:cs="Times New Roman"/>
          <w:i/>
          <w:iCs/>
          <w:szCs w:val="24"/>
        </w:rPr>
        <w:t>Enhanced job design is the secret to work-life balance? Three-way interaction effects on adaptive personality features.</w:t>
      </w:r>
      <w:r w:rsidRPr="008213FA">
        <w:rPr>
          <w:rFonts w:cs="Times New Roman"/>
          <w:szCs w:val="24"/>
        </w:rPr>
        <w:t xml:space="preserve"> </w:t>
      </w:r>
      <w:r w:rsidRPr="008213FA">
        <w:rPr>
          <w:rFonts w:cs="Times New Roman"/>
          <w:i/>
          <w:iCs/>
          <w:szCs w:val="24"/>
        </w:rPr>
        <w:t>International Journal of Multidisciplinary Research in Arts, Science and Technology, 2</w:t>
      </w:r>
      <w:r w:rsidRPr="008213FA">
        <w:rPr>
          <w:rFonts w:cs="Times New Roman"/>
          <w:szCs w:val="24"/>
        </w:rPr>
        <w:t>(3), 57–78.</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Gillet, N., </w:t>
      </w:r>
      <w:proofErr w:type="spellStart"/>
      <w:r w:rsidRPr="008213FA">
        <w:rPr>
          <w:rFonts w:cs="Times New Roman"/>
          <w:szCs w:val="24"/>
        </w:rPr>
        <w:t>Colombat</w:t>
      </w:r>
      <w:proofErr w:type="spellEnd"/>
      <w:r w:rsidRPr="008213FA">
        <w:rPr>
          <w:rFonts w:cs="Times New Roman"/>
          <w:szCs w:val="24"/>
        </w:rPr>
        <w:t xml:space="preserve">, P., Michinov, E., </w:t>
      </w:r>
      <w:proofErr w:type="spellStart"/>
      <w:r w:rsidRPr="008213FA">
        <w:rPr>
          <w:rFonts w:cs="Times New Roman"/>
          <w:szCs w:val="24"/>
        </w:rPr>
        <w:t>Pronost</w:t>
      </w:r>
      <w:proofErr w:type="spellEnd"/>
      <w:r w:rsidRPr="008213FA">
        <w:rPr>
          <w:rFonts w:cs="Times New Roman"/>
          <w:szCs w:val="24"/>
        </w:rPr>
        <w:t>, A. M., &amp; Fouquereau, E. (2013). Procedural justice, supervisor autonomy support, work satisfaction, organizational identification and job performance: The mediating role of need satisfaction and perceived organizational support. </w:t>
      </w:r>
      <w:r w:rsidRPr="008213FA">
        <w:rPr>
          <w:rFonts w:cs="Times New Roman"/>
          <w:i/>
          <w:iCs/>
          <w:szCs w:val="24"/>
        </w:rPr>
        <w:t>Journal of advanced nursing</w:t>
      </w:r>
      <w:r w:rsidRPr="008213FA">
        <w:rPr>
          <w:rFonts w:cs="Times New Roman"/>
          <w:szCs w:val="24"/>
        </w:rPr>
        <w:t>, </w:t>
      </w:r>
      <w:r w:rsidRPr="008213FA">
        <w:rPr>
          <w:rFonts w:cs="Times New Roman"/>
          <w:i/>
          <w:iCs/>
          <w:szCs w:val="24"/>
        </w:rPr>
        <w:t>69</w:t>
      </w:r>
      <w:r w:rsidRPr="008213FA">
        <w:rPr>
          <w:rFonts w:cs="Times New Roman"/>
          <w:szCs w:val="24"/>
        </w:rPr>
        <w:t>(11), 2560-2571.</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Gözükara</w:t>
      </w:r>
      <w:proofErr w:type="spellEnd"/>
      <w:r w:rsidRPr="008213FA">
        <w:rPr>
          <w:rFonts w:cs="Times New Roman"/>
          <w:szCs w:val="24"/>
        </w:rPr>
        <w:t>, İ., &amp; Çolakoğlu, N. (2016). The mediating effect of work family conflict on the relationship between job autonomy and job satisfaction. </w:t>
      </w:r>
      <w:r w:rsidRPr="008213FA">
        <w:rPr>
          <w:rFonts w:cs="Times New Roman"/>
          <w:i/>
          <w:iCs/>
          <w:szCs w:val="24"/>
        </w:rPr>
        <w:t xml:space="preserve">Procedia-Social and </w:t>
      </w:r>
      <w:proofErr w:type="spellStart"/>
      <w:r w:rsidRPr="008213FA">
        <w:rPr>
          <w:rFonts w:cs="Times New Roman"/>
          <w:i/>
          <w:iCs/>
          <w:szCs w:val="24"/>
        </w:rPr>
        <w:t>Behavioral</w:t>
      </w:r>
      <w:proofErr w:type="spellEnd"/>
      <w:r w:rsidRPr="008213FA">
        <w:rPr>
          <w:rFonts w:cs="Times New Roman"/>
          <w:i/>
          <w:iCs/>
          <w:szCs w:val="24"/>
        </w:rPr>
        <w:t xml:space="preserve"> Sciences</w:t>
      </w:r>
      <w:r w:rsidRPr="008213FA">
        <w:rPr>
          <w:rFonts w:cs="Times New Roman"/>
          <w:szCs w:val="24"/>
        </w:rPr>
        <w:t>, </w:t>
      </w:r>
      <w:r w:rsidRPr="008213FA">
        <w:rPr>
          <w:rFonts w:cs="Times New Roman"/>
          <w:i/>
          <w:iCs/>
          <w:szCs w:val="24"/>
        </w:rPr>
        <w:t>229</w:t>
      </w:r>
      <w:r w:rsidRPr="008213FA">
        <w:rPr>
          <w:rFonts w:cs="Times New Roman"/>
          <w:szCs w:val="24"/>
        </w:rPr>
        <w:t>, 253-266.</w:t>
      </w:r>
    </w:p>
    <w:p w:rsidR="00F14804" w:rsidRPr="008213FA" w:rsidRDefault="00F14804" w:rsidP="00F14804">
      <w:pPr>
        <w:spacing w:line="240" w:lineRule="auto"/>
        <w:ind w:left="720" w:hanging="720"/>
        <w:rPr>
          <w:rFonts w:cs="Times New Roman"/>
          <w:szCs w:val="24"/>
        </w:rPr>
      </w:pPr>
      <w:r w:rsidRPr="008213FA">
        <w:rPr>
          <w:rFonts w:cs="Times New Roman"/>
          <w:szCs w:val="24"/>
        </w:rPr>
        <w:t>Guo, L., &amp; Chelliah, S. (2024). The impact of self-determination theory on work motivation: A critical review. </w:t>
      </w:r>
      <w:r w:rsidRPr="008213FA">
        <w:rPr>
          <w:rFonts w:cs="Times New Roman"/>
          <w:i/>
          <w:iCs/>
          <w:szCs w:val="24"/>
        </w:rPr>
        <w:t>Global Business and Management Research</w:t>
      </w:r>
      <w:r w:rsidRPr="008213FA">
        <w:rPr>
          <w:rFonts w:cs="Times New Roman"/>
          <w:szCs w:val="24"/>
        </w:rPr>
        <w:t>, </w:t>
      </w:r>
      <w:r w:rsidRPr="008213FA">
        <w:rPr>
          <w:rFonts w:cs="Times New Roman"/>
          <w:i/>
          <w:iCs/>
          <w:szCs w:val="24"/>
        </w:rPr>
        <w:t>16</w:t>
      </w:r>
      <w:r w:rsidRPr="008213FA">
        <w:rPr>
          <w:rFonts w:cs="Times New Roman"/>
          <w:szCs w:val="24"/>
        </w:rPr>
        <w:t>(4s), 1916-1936.</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Haruna, A., &amp; </w:t>
      </w:r>
      <w:proofErr w:type="spellStart"/>
      <w:r w:rsidRPr="008213FA">
        <w:rPr>
          <w:rFonts w:cs="Times New Roman"/>
          <w:szCs w:val="24"/>
        </w:rPr>
        <w:t>Pongri</w:t>
      </w:r>
      <w:proofErr w:type="spellEnd"/>
      <w:r w:rsidRPr="008213FA">
        <w:rPr>
          <w:rFonts w:cs="Times New Roman"/>
          <w:szCs w:val="24"/>
        </w:rPr>
        <w:t xml:space="preserve">, J. (2024). </w:t>
      </w:r>
      <w:r w:rsidRPr="008213FA">
        <w:rPr>
          <w:rFonts w:cs="Times New Roman"/>
          <w:i/>
          <w:iCs/>
          <w:szCs w:val="24"/>
        </w:rPr>
        <w:t>Impact of work environment on job satisfaction and employee performance in selected state universities in North East, Nigeria.</w:t>
      </w:r>
      <w:r w:rsidRPr="008213FA">
        <w:rPr>
          <w:rFonts w:cs="Times New Roman"/>
          <w:szCs w:val="24"/>
        </w:rPr>
        <w:t xml:space="preserve"> </w:t>
      </w:r>
      <w:r w:rsidRPr="008213FA">
        <w:rPr>
          <w:rFonts w:cs="Times New Roman"/>
          <w:i/>
          <w:iCs/>
          <w:szCs w:val="24"/>
        </w:rPr>
        <w:t>Journal of Contemporary Education Research, 5</w:t>
      </w:r>
      <w:r w:rsidRPr="008213FA">
        <w:rPr>
          <w:rFonts w:cs="Times New Roman"/>
          <w:szCs w:val="24"/>
        </w:rPr>
        <w:t xml:space="preserve">(8). </w:t>
      </w:r>
      <w:hyperlink r:id="rId7" w:history="1">
        <w:r w:rsidRPr="008213FA">
          <w:rPr>
            <w:rStyle w:val="Hyperlink"/>
            <w:rFonts w:cs="Times New Roman"/>
            <w:szCs w:val="24"/>
          </w:rPr>
          <w:t>https://hummingbirdjournals.com/jcer/article/view/180</w:t>
        </w:r>
      </w:hyperlink>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Ichazu</w:t>
      </w:r>
      <w:proofErr w:type="spellEnd"/>
      <w:r w:rsidRPr="008213FA">
        <w:rPr>
          <w:rFonts w:cs="Times New Roman"/>
          <w:szCs w:val="24"/>
        </w:rPr>
        <w:t xml:space="preserve">, K., &amp; </w:t>
      </w:r>
      <w:proofErr w:type="spellStart"/>
      <w:r w:rsidRPr="008213FA">
        <w:rPr>
          <w:rFonts w:cs="Times New Roman"/>
          <w:szCs w:val="24"/>
        </w:rPr>
        <w:t>Ugbome</w:t>
      </w:r>
      <w:proofErr w:type="spellEnd"/>
      <w:r w:rsidRPr="008213FA">
        <w:rPr>
          <w:rFonts w:cs="Times New Roman"/>
          <w:szCs w:val="24"/>
        </w:rPr>
        <w:t xml:space="preserve">, G. (2024). </w:t>
      </w:r>
      <w:r w:rsidRPr="008213FA">
        <w:rPr>
          <w:rFonts w:cs="Times New Roman"/>
          <w:i/>
          <w:iCs/>
          <w:szCs w:val="24"/>
        </w:rPr>
        <w:t>Managerial climate and job satisfaction among academic staff in Nigerian universities.</w:t>
      </w:r>
      <w:r w:rsidRPr="008213FA">
        <w:rPr>
          <w:rFonts w:cs="Times New Roman"/>
          <w:szCs w:val="24"/>
        </w:rPr>
        <w:t xml:space="preserve"> </w:t>
      </w:r>
      <w:r w:rsidRPr="008213FA">
        <w:rPr>
          <w:rFonts w:cs="Times New Roman"/>
          <w:i/>
          <w:iCs/>
          <w:szCs w:val="24"/>
        </w:rPr>
        <w:t>FUOYE International Journal of Education, 7</w:t>
      </w:r>
      <w:r w:rsidRPr="008213FA">
        <w:rPr>
          <w:rFonts w:cs="Times New Roman"/>
          <w:szCs w:val="24"/>
        </w:rPr>
        <w:t>(1).</w:t>
      </w:r>
    </w:p>
    <w:p w:rsidR="00F14804" w:rsidRPr="008213FA" w:rsidRDefault="00F14804" w:rsidP="00F14804">
      <w:pPr>
        <w:spacing w:line="240" w:lineRule="auto"/>
        <w:ind w:left="720" w:hanging="720"/>
        <w:rPr>
          <w:rFonts w:cs="Times New Roman"/>
          <w:szCs w:val="24"/>
        </w:rPr>
      </w:pPr>
      <w:r w:rsidRPr="008213FA">
        <w:rPr>
          <w:rFonts w:cs="Times New Roman"/>
          <w:szCs w:val="24"/>
        </w:rPr>
        <w:lastRenderedPageBreak/>
        <w:t>Jena, L. K., Bhattacharyya, P., &amp; Pradhan, S. (2019). Am I empowered through meaningful work? The moderating role of perceived flexibility in connecting meaningful work and psychological empowerment. </w:t>
      </w:r>
      <w:r w:rsidRPr="008213FA">
        <w:rPr>
          <w:rFonts w:cs="Times New Roman"/>
          <w:i/>
          <w:iCs/>
          <w:szCs w:val="24"/>
        </w:rPr>
        <w:t>IIMB Management Review</w:t>
      </w:r>
      <w:r w:rsidRPr="008213FA">
        <w:rPr>
          <w:rFonts w:cs="Times New Roman"/>
          <w:szCs w:val="24"/>
        </w:rPr>
        <w:t>, </w:t>
      </w:r>
      <w:r w:rsidRPr="008213FA">
        <w:rPr>
          <w:rFonts w:cs="Times New Roman"/>
          <w:i/>
          <w:iCs/>
          <w:szCs w:val="24"/>
        </w:rPr>
        <w:t>31</w:t>
      </w:r>
      <w:r w:rsidRPr="008213FA">
        <w:rPr>
          <w:rFonts w:cs="Times New Roman"/>
          <w:szCs w:val="24"/>
        </w:rPr>
        <w:t>(3), 298-308.</w:t>
      </w:r>
    </w:p>
    <w:p w:rsidR="00F14804" w:rsidRPr="008213FA" w:rsidRDefault="00F14804" w:rsidP="00F14804">
      <w:pPr>
        <w:spacing w:line="240" w:lineRule="auto"/>
        <w:ind w:left="720" w:hanging="720"/>
        <w:rPr>
          <w:rFonts w:cs="Times New Roman"/>
          <w:szCs w:val="24"/>
        </w:rPr>
      </w:pPr>
      <w:r w:rsidRPr="008213FA">
        <w:rPr>
          <w:rFonts w:cs="Times New Roman"/>
          <w:szCs w:val="24"/>
        </w:rPr>
        <w:t>Jong, J. (2016). The role of performance feedback and job autonomy in mitigating the negative effect of role ambiguity on employee satisfaction. </w:t>
      </w:r>
      <w:r w:rsidRPr="008213FA">
        <w:rPr>
          <w:rFonts w:cs="Times New Roman"/>
          <w:i/>
          <w:iCs/>
          <w:szCs w:val="24"/>
        </w:rPr>
        <w:t>Public Performance &amp; Management Review</w:t>
      </w:r>
      <w:r w:rsidRPr="008213FA">
        <w:rPr>
          <w:rFonts w:cs="Times New Roman"/>
          <w:szCs w:val="24"/>
        </w:rPr>
        <w:t>, </w:t>
      </w:r>
      <w:r w:rsidRPr="008213FA">
        <w:rPr>
          <w:rFonts w:cs="Times New Roman"/>
          <w:i/>
          <w:iCs/>
          <w:szCs w:val="24"/>
        </w:rPr>
        <w:t>39</w:t>
      </w:r>
      <w:r w:rsidRPr="008213FA">
        <w:rPr>
          <w:rFonts w:cs="Times New Roman"/>
          <w:szCs w:val="24"/>
        </w:rPr>
        <w:t>(4), 814-834.</w:t>
      </w:r>
    </w:p>
    <w:p w:rsidR="00F14804" w:rsidRPr="008213FA" w:rsidRDefault="00F14804" w:rsidP="00F14804">
      <w:pPr>
        <w:spacing w:line="240" w:lineRule="auto"/>
        <w:ind w:left="720" w:hanging="720"/>
        <w:rPr>
          <w:rFonts w:cs="Times New Roman"/>
          <w:szCs w:val="24"/>
        </w:rPr>
      </w:pPr>
      <w:r w:rsidRPr="008213FA">
        <w:rPr>
          <w:rFonts w:cs="Times New Roman"/>
          <w:szCs w:val="24"/>
        </w:rPr>
        <w:t>Kalluri, R. (2023). </w:t>
      </w:r>
      <w:r w:rsidRPr="008213FA">
        <w:rPr>
          <w:rFonts w:cs="Times New Roman"/>
          <w:i/>
          <w:iCs/>
          <w:szCs w:val="24"/>
        </w:rPr>
        <w:t>Human Psychology Factors Influencing Agile Team Autonomy in Post-Pandemic Remote Software Organizations</w:t>
      </w:r>
      <w:r w:rsidRPr="008213FA">
        <w:rPr>
          <w:rFonts w:cs="Times New Roman"/>
          <w:szCs w:val="24"/>
        </w:rPr>
        <w:t>. Old Dominion University.</w:t>
      </w:r>
    </w:p>
    <w:p w:rsidR="00F14804" w:rsidRPr="008213FA" w:rsidRDefault="00F14804" w:rsidP="00F14804">
      <w:pPr>
        <w:spacing w:line="240" w:lineRule="auto"/>
        <w:ind w:left="720" w:hanging="720"/>
        <w:rPr>
          <w:rFonts w:cs="Times New Roman"/>
          <w:szCs w:val="24"/>
        </w:rPr>
      </w:pPr>
      <w:r w:rsidRPr="008213FA">
        <w:rPr>
          <w:rFonts w:cs="Times New Roman"/>
          <w:szCs w:val="24"/>
        </w:rPr>
        <w:t>Khoshnaw, S., &amp; Alavi, H. (2020). Examining the interrelation between job autonomy and job performance: A critical literature review. </w:t>
      </w:r>
      <w:r w:rsidRPr="008213FA">
        <w:rPr>
          <w:rFonts w:cs="Times New Roman"/>
          <w:i/>
          <w:iCs/>
          <w:szCs w:val="24"/>
        </w:rPr>
        <w:t>Multidisciplinary Aspects of Production Engineering</w:t>
      </w:r>
      <w:r w:rsidRPr="008213FA">
        <w:rPr>
          <w:rFonts w:cs="Times New Roman"/>
          <w:szCs w:val="24"/>
        </w:rPr>
        <w:t>, </w:t>
      </w:r>
      <w:r w:rsidRPr="008213FA">
        <w:rPr>
          <w:rFonts w:cs="Times New Roman"/>
          <w:i/>
          <w:iCs/>
          <w:szCs w:val="24"/>
        </w:rPr>
        <w:t>3</w:t>
      </w:r>
      <w:r w:rsidRPr="008213FA">
        <w:rPr>
          <w:rFonts w:cs="Times New Roman"/>
          <w:szCs w:val="24"/>
        </w:rPr>
        <w:t>(1), 606-616.</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Kossek, E. E., &amp; </w:t>
      </w:r>
      <w:proofErr w:type="spellStart"/>
      <w:r w:rsidRPr="008213FA">
        <w:rPr>
          <w:rFonts w:cs="Times New Roman"/>
          <w:szCs w:val="24"/>
        </w:rPr>
        <w:t>Lautsch</w:t>
      </w:r>
      <w:proofErr w:type="spellEnd"/>
      <w:r w:rsidRPr="008213FA">
        <w:rPr>
          <w:rFonts w:cs="Times New Roman"/>
          <w:szCs w:val="24"/>
        </w:rPr>
        <w:t xml:space="preserve">, B. A. (2018). Work–life flexibility for whom? Occupational status and work–life inequality in upper, middle, and </w:t>
      </w:r>
      <w:proofErr w:type="gramStart"/>
      <w:r w:rsidRPr="008213FA">
        <w:rPr>
          <w:rFonts w:cs="Times New Roman"/>
          <w:szCs w:val="24"/>
        </w:rPr>
        <w:t>lower level</w:t>
      </w:r>
      <w:proofErr w:type="gramEnd"/>
      <w:r w:rsidRPr="008213FA">
        <w:rPr>
          <w:rFonts w:cs="Times New Roman"/>
          <w:szCs w:val="24"/>
        </w:rPr>
        <w:t xml:space="preserve"> jobs. </w:t>
      </w:r>
      <w:r w:rsidRPr="008213FA">
        <w:rPr>
          <w:rFonts w:cs="Times New Roman"/>
          <w:i/>
          <w:iCs/>
          <w:szCs w:val="24"/>
        </w:rPr>
        <w:t>Academy of Management Annals</w:t>
      </w:r>
      <w:r w:rsidRPr="008213FA">
        <w:rPr>
          <w:rFonts w:cs="Times New Roman"/>
          <w:szCs w:val="24"/>
        </w:rPr>
        <w:t>, </w:t>
      </w:r>
      <w:r w:rsidRPr="008213FA">
        <w:rPr>
          <w:rFonts w:cs="Times New Roman"/>
          <w:i/>
          <w:iCs/>
          <w:szCs w:val="24"/>
        </w:rPr>
        <w:t>12</w:t>
      </w:r>
      <w:r w:rsidRPr="008213FA">
        <w:rPr>
          <w:rFonts w:cs="Times New Roman"/>
          <w:szCs w:val="24"/>
        </w:rPr>
        <w:t>(1), 5-36.</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Kossek, E. E., </w:t>
      </w:r>
      <w:proofErr w:type="spellStart"/>
      <w:r w:rsidRPr="008213FA">
        <w:rPr>
          <w:rFonts w:cs="Times New Roman"/>
          <w:szCs w:val="24"/>
        </w:rPr>
        <w:t>Perrigino</w:t>
      </w:r>
      <w:proofErr w:type="spellEnd"/>
      <w:r w:rsidRPr="008213FA">
        <w:rPr>
          <w:rFonts w:cs="Times New Roman"/>
          <w:szCs w:val="24"/>
        </w:rPr>
        <w:t xml:space="preserve">, M. B., &amp; </w:t>
      </w:r>
      <w:proofErr w:type="spellStart"/>
      <w:r w:rsidRPr="008213FA">
        <w:rPr>
          <w:rFonts w:cs="Times New Roman"/>
          <w:szCs w:val="24"/>
        </w:rPr>
        <w:t>Lautsch</w:t>
      </w:r>
      <w:proofErr w:type="spellEnd"/>
      <w:r w:rsidRPr="008213FA">
        <w:rPr>
          <w:rFonts w:cs="Times New Roman"/>
          <w:szCs w:val="24"/>
        </w:rPr>
        <w:t>, B. A. (2023). Work-life flexibility policies from a boundary control and implementation perspective: A review and research framework. </w:t>
      </w:r>
      <w:r w:rsidRPr="008213FA">
        <w:rPr>
          <w:rFonts w:cs="Times New Roman"/>
          <w:i/>
          <w:iCs/>
          <w:szCs w:val="24"/>
        </w:rPr>
        <w:t>Journal of Management</w:t>
      </w:r>
      <w:r w:rsidRPr="008213FA">
        <w:rPr>
          <w:rFonts w:cs="Times New Roman"/>
          <w:szCs w:val="24"/>
        </w:rPr>
        <w:t>, </w:t>
      </w:r>
      <w:r w:rsidRPr="008213FA">
        <w:rPr>
          <w:rFonts w:cs="Times New Roman"/>
          <w:i/>
          <w:iCs/>
          <w:szCs w:val="24"/>
        </w:rPr>
        <w:t>49</w:t>
      </w:r>
      <w:r w:rsidRPr="008213FA">
        <w:rPr>
          <w:rFonts w:cs="Times New Roman"/>
          <w:szCs w:val="24"/>
        </w:rPr>
        <w:t>(6), 2062-2108.</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Kusik, D., Tokarz, A., </w:t>
      </w:r>
      <w:proofErr w:type="spellStart"/>
      <w:r w:rsidRPr="008213FA">
        <w:rPr>
          <w:rFonts w:cs="Times New Roman"/>
          <w:szCs w:val="24"/>
        </w:rPr>
        <w:t>Garlak</w:t>
      </w:r>
      <w:proofErr w:type="spellEnd"/>
      <w:r w:rsidRPr="008213FA">
        <w:rPr>
          <w:rFonts w:cs="Times New Roman"/>
          <w:szCs w:val="24"/>
        </w:rPr>
        <w:t xml:space="preserve">, M., &amp; </w:t>
      </w:r>
      <w:proofErr w:type="spellStart"/>
      <w:r w:rsidRPr="008213FA">
        <w:rPr>
          <w:rFonts w:cs="Times New Roman"/>
          <w:szCs w:val="24"/>
        </w:rPr>
        <w:t>Kałwak</w:t>
      </w:r>
      <w:proofErr w:type="spellEnd"/>
      <w:r w:rsidRPr="008213FA">
        <w:rPr>
          <w:rFonts w:cs="Times New Roman"/>
          <w:szCs w:val="24"/>
        </w:rPr>
        <w:t>, W. (2024). We need autonomy! The role of job autonomy and autonomous motivation in employees’ work engagement in the outsourcing sector: A systematic mixed-method illustrative case study. </w:t>
      </w:r>
      <w:r w:rsidRPr="008213FA">
        <w:rPr>
          <w:rFonts w:cs="Times New Roman"/>
          <w:i/>
          <w:iCs/>
          <w:szCs w:val="24"/>
        </w:rPr>
        <w:t>Journal of General Management</w:t>
      </w:r>
      <w:r w:rsidRPr="008213FA">
        <w:rPr>
          <w:rFonts w:cs="Times New Roman"/>
          <w:szCs w:val="24"/>
        </w:rPr>
        <w:t>, 03063070241286639.</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Liao, E., Wang, A. Y., &amp; Zhang, C. Q. (2021). To Control or to </w:t>
      </w:r>
      <w:proofErr w:type="gramStart"/>
      <w:r w:rsidRPr="008213FA">
        <w:rPr>
          <w:rFonts w:cs="Times New Roman"/>
          <w:szCs w:val="24"/>
        </w:rPr>
        <w:t>Delegate?:</w:t>
      </w:r>
      <w:proofErr w:type="gramEnd"/>
      <w:r w:rsidRPr="008213FA">
        <w:rPr>
          <w:rFonts w:cs="Times New Roman"/>
          <w:szCs w:val="24"/>
        </w:rPr>
        <w:t xml:space="preserve"> Effective Leadership in Challenging Times. In </w:t>
      </w:r>
      <w:r w:rsidRPr="008213FA">
        <w:rPr>
          <w:rFonts w:cs="Times New Roman"/>
          <w:i/>
          <w:iCs/>
          <w:szCs w:val="24"/>
        </w:rPr>
        <w:t>Strategic Management During a Pandemic</w:t>
      </w:r>
      <w:r w:rsidRPr="008213FA">
        <w:rPr>
          <w:rFonts w:cs="Times New Roman"/>
          <w:szCs w:val="24"/>
        </w:rPr>
        <w:t> (pp. 59-78). Routledge.</w:t>
      </w:r>
    </w:p>
    <w:p w:rsidR="00F14804" w:rsidRPr="008213FA" w:rsidRDefault="00F14804" w:rsidP="00F14804">
      <w:pPr>
        <w:spacing w:line="240" w:lineRule="auto"/>
        <w:ind w:left="720" w:hanging="720"/>
        <w:rPr>
          <w:rFonts w:cs="Times New Roman"/>
          <w:szCs w:val="24"/>
        </w:rPr>
      </w:pPr>
      <w:r w:rsidRPr="008213FA">
        <w:rPr>
          <w:rFonts w:cs="Times New Roman"/>
          <w:szCs w:val="24"/>
        </w:rPr>
        <w:t>Liu, Y., Raza, J., Zhang, J., Zhu, N., &amp; Gul, H. (2022). Linking autonomy support and health at work: The self-determination theory perspective. </w:t>
      </w:r>
      <w:r w:rsidRPr="008213FA">
        <w:rPr>
          <w:rFonts w:cs="Times New Roman"/>
          <w:i/>
          <w:iCs/>
          <w:szCs w:val="24"/>
        </w:rPr>
        <w:t>Current Psychology</w:t>
      </w:r>
      <w:r w:rsidRPr="008213FA">
        <w:rPr>
          <w:rFonts w:cs="Times New Roman"/>
          <w:szCs w:val="24"/>
        </w:rPr>
        <w:t>, </w:t>
      </w:r>
      <w:r w:rsidRPr="008213FA">
        <w:rPr>
          <w:rFonts w:cs="Times New Roman"/>
          <w:i/>
          <w:iCs/>
          <w:szCs w:val="24"/>
        </w:rPr>
        <w:t>41</w:t>
      </w:r>
      <w:r w:rsidRPr="008213FA">
        <w:rPr>
          <w:rFonts w:cs="Times New Roman"/>
          <w:szCs w:val="24"/>
        </w:rPr>
        <w:t>(6), 3651-3663.</w:t>
      </w:r>
    </w:p>
    <w:p w:rsidR="00F14804" w:rsidRPr="008213FA" w:rsidRDefault="00F14804" w:rsidP="00F14804">
      <w:pPr>
        <w:spacing w:line="240" w:lineRule="auto"/>
        <w:ind w:left="720" w:hanging="720"/>
        <w:rPr>
          <w:rFonts w:cs="Times New Roman"/>
          <w:szCs w:val="24"/>
        </w:rPr>
      </w:pPr>
      <w:r w:rsidRPr="008213FA">
        <w:rPr>
          <w:rFonts w:cs="Times New Roman"/>
          <w:szCs w:val="24"/>
        </w:rPr>
        <w:t>Manganelli, L., Thibault-Landry, A., Forest, J., &amp; Carpentier, J. (2018). Self-determination theory can help you generate performance and well-being in the workplace: A review of the literature. </w:t>
      </w:r>
      <w:r w:rsidRPr="008213FA">
        <w:rPr>
          <w:rFonts w:cs="Times New Roman"/>
          <w:i/>
          <w:iCs/>
          <w:szCs w:val="24"/>
        </w:rPr>
        <w:t>Advances in Developing Human Resources</w:t>
      </w:r>
      <w:r w:rsidRPr="008213FA">
        <w:rPr>
          <w:rFonts w:cs="Times New Roman"/>
          <w:szCs w:val="24"/>
        </w:rPr>
        <w:t>, </w:t>
      </w:r>
      <w:r w:rsidRPr="008213FA">
        <w:rPr>
          <w:rFonts w:cs="Times New Roman"/>
          <w:i/>
          <w:iCs/>
          <w:szCs w:val="24"/>
        </w:rPr>
        <w:t>20</w:t>
      </w:r>
      <w:r w:rsidRPr="008213FA">
        <w:rPr>
          <w:rFonts w:cs="Times New Roman"/>
          <w:szCs w:val="24"/>
        </w:rPr>
        <w:t>(2), 227-240.</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Matondang</w:t>
      </w:r>
      <w:proofErr w:type="spellEnd"/>
      <w:r w:rsidRPr="008213FA">
        <w:rPr>
          <w:rFonts w:cs="Times New Roman"/>
          <w:szCs w:val="24"/>
        </w:rPr>
        <w:t xml:space="preserve">, M. H., </w:t>
      </w:r>
      <w:proofErr w:type="spellStart"/>
      <w:r w:rsidRPr="008213FA">
        <w:rPr>
          <w:rFonts w:cs="Times New Roman"/>
          <w:szCs w:val="24"/>
        </w:rPr>
        <w:t>Absah</w:t>
      </w:r>
      <w:proofErr w:type="spellEnd"/>
      <w:r w:rsidRPr="008213FA">
        <w:rPr>
          <w:rFonts w:cs="Times New Roman"/>
          <w:szCs w:val="24"/>
        </w:rPr>
        <w:t xml:space="preserve">, Y., &amp; Lubis, A. N. (2021). The Effect of Trust in Leader and Communication on Employee Performance through Motivation Pt. </w:t>
      </w:r>
      <w:proofErr w:type="spellStart"/>
      <w:r w:rsidRPr="008213FA">
        <w:rPr>
          <w:rFonts w:cs="Times New Roman"/>
          <w:szCs w:val="24"/>
        </w:rPr>
        <w:t>Herfinta</w:t>
      </w:r>
      <w:proofErr w:type="spellEnd"/>
      <w:r w:rsidRPr="008213FA">
        <w:rPr>
          <w:rFonts w:cs="Times New Roman"/>
          <w:szCs w:val="24"/>
        </w:rPr>
        <w:t xml:space="preserve"> Farm and Plantation. </w:t>
      </w:r>
      <w:r w:rsidRPr="008213FA">
        <w:rPr>
          <w:rFonts w:cs="Times New Roman"/>
          <w:i/>
          <w:iCs/>
          <w:szCs w:val="24"/>
        </w:rPr>
        <w:t>International Journal of Research and Review</w:t>
      </w:r>
      <w:r w:rsidRPr="008213FA">
        <w:rPr>
          <w:rFonts w:cs="Times New Roman"/>
          <w:szCs w:val="24"/>
        </w:rPr>
        <w:t>, </w:t>
      </w:r>
      <w:r w:rsidRPr="008213FA">
        <w:rPr>
          <w:rFonts w:cs="Times New Roman"/>
          <w:i/>
          <w:iCs/>
          <w:szCs w:val="24"/>
        </w:rPr>
        <w:t>8</w:t>
      </w:r>
      <w:r w:rsidRPr="008213FA">
        <w:rPr>
          <w:rFonts w:cs="Times New Roman"/>
          <w:szCs w:val="24"/>
        </w:rPr>
        <w:t>(1), 663-672.</w:t>
      </w:r>
    </w:p>
    <w:p w:rsidR="00F14804" w:rsidRPr="008213FA" w:rsidRDefault="00F14804" w:rsidP="00F14804">
      <w:pPr>
        <w:spacing w:line="240" w:lineRule="auto"/>
        <w:ind w:left="720" w:hanging="720"/>
        <w:rPr>
          <w:rFonts w:cs="Times New Roman"/>
          <w:szCs w:val="24"/>
        </w:rPr>
      </w:pPr>
      <w:r w:rsidRPr="008213FA">
        <w:rPr>
          <w:rFonts w:cs="Times New Roman"/>
          <w:szCs w:val="24"/>
        </w:rPr>
        <w:t>McAnally, K., &amp; Hagger, M. S. (2024). Self-determination theory and workplace outcomes: A conceptual review and future research directions. </w:t>
      </w:r>
      <w:proofErr w:type="spellStart"/>
      <w:r w:rsidRPr="008213FA">
        <w:rPr>
          <w:rFonts w:cs="Times New Roman"/>
          <w:i/>
          <w:iCs/>
          <w:szCs w:val="24"/>
        </w:rPr>
        <w:t>Behavioral</w:t>
      </w:r>
      <w:proofErr w:type="spellEnd"/>
      <w:r w:rsidRPr="008213FA">
        <w:rPr>
          <w:rFonts w:cs="Times New Roman"/>
          <w:i/>
          <w:iCs/>
          <w:szCs w:val="24"/>
        </w:rPr>
        <w:t xml:space="preserve"> sciences</w:t>
      </w:r>
      <w:r w:rsidRPr="008213FA">
        <w:rPr>
          <w:rFonts w:cs="Times New Roman"/>
          <w:szCs w:val="24"/>
        </w:rPr>
        <w:t>, </w:t>
      </w:r>
      <w:r w:rsidRPr="008213FA">
        <w:rPr>
          <w:rFonts w:cs="Times New Roman"/>
          <w:i/>
          <w:iCs/>
          <w:szCs w:val="24"/>
        </w:rPr>
        <w:t>14</w:t>
      </w:r>
      <w:r w:rsidRPr="008213FA">
        <w:rPr>
          <w:rFonts w:cs="Times New Roman"/>
          <w:szCs w:val="24"/>
        </w:rPr>
        <w:t>(6), 428.</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Nagpaul</w:t>
      </w:r>
      <w:proofErr w:type="spellEnd"/>
      <w:r w:rsidRPr="008213FA">
        <w:rPr>
          <w:rFonts w:cs="Times New Roman"/>
          <w:szCs w:val="24"/>
        </w:rPr>
        <w:t>, T., Leong, C. H., Toh, C. S., Amir, A. B., Chin, R., &amp; Tan, S. (2022). Exploring job satisfaction and intentions to quit among security officers: The role of work hygiene and motivator factors. </w:t>
      </w:r>
      <w:r w:rsidRPr="008213FA">
        <w:rPr>
          <w:rFonts w:cs="Times New Roman"/>
          <w:i/>
          <w:iCs/>
          <w:szCs w:val="24"/>
        </w:rPr>
        <w:t>Social Sciences</w:t>
      </w:r>
      <w:r w:rsidRPr="008213FA">
        <w:rPr>
          <w:rFonts w:cs="Times New Roman"/>
          <w:szCs w:val="24"/>
        </w:rPr>
        <w:t>, </w:t>
      </w:r>
      <w:r w:rsidRPr="008213FA">
        <w:rPr>
          <w:rFonts w:cs="Times New Roman"/>
          <w:i/>
          <w:iCs/>
          <w:szCs w:val="24"/>
        </w:rPr>
        <w:t>11</w:t>
      </w:r>
      <w:r w:rsidRPr="008213FA">
        <w:rPr>
          <w:rFonts w:cs="Times New Roman"/>
          <w:szCs w:val="24"/>
        </w:rPr>
        <w:t>(11), 497.</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lastRenderedPageBreak/>
        <w:t>Onyebu</w:t>
      </w:r>
      <w:proofErr w:type="spellEnd"/>
      <w:r w:rsidRPr="008213FA">
        <w:rPr>
          <w:rFonts w:cs="Times New Roman"/>
          <w:szCs w:val="24"/>
        </w:rPr>
        <w:t>, C. M. P., &amp; Omotayo, O. A. R. (2017). Employee job satisfaction and organizational performance an insight from selected hotels in Lagos Nigeria. </w:t>
      </w:r>
      <w:r w:rsidRPr="008213FA">
        <w:rPr>
          <w:rFonts w:cs="Times New Roman"/>
          <w:i/>
          <w:iCs/>
          <w:szCs w:val="24"/>
        </w:rPr>
        <w:t>Arabian Journal of Business and Management Review (Kuwait Chapter)</w:t>
      </w:r>
      <w:r w:rsidRPr="008213FA">
        <w:rPr>
          <w:rFonts w:cs="Times New Roman"/>
          <w:szCs w:val="24"/>
        </w:rPr>
        <w:t>, </w:t>
      </w:r>
      <w:r w:rsidRPr="008213FA">
        <w:rPr>
          <w:rFonts w:cs="Times New Roman"/>
          <w:i/>
          <w:iCs/>
          <w:szCs w:val="24"/>
        </w:rPr>
        <w:t>6</w:t>
      </w:r>
      <w:r w:rsidRPr="008213FA">
        <w:rPr>
          <w:rFonts w:cs="Times New Roman"/>
          <w:szCs w:val="24"/>
        </w:rPr>
        <w:t>(10), 48-59.</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Orgambídez</w:t>
      </w:r>
      <w:proofErr w:type="spellEnd"/>
      <w:r w:rsidRPr="008213FA">
        <w:rPr>
          <w:rFonts w:cs="Times New Roman"/>
          <w:szCs w:val="24"/>
        </w:rPr>
        <w:t>, A., &amp; Almeida, H. (2020). Social support, role clarity and job satisfaction: a successful combination for nurses. </w:t>
      </w:r>
      <w:r w:rsidRPr="008213FA">
        <w:rPr>
          <w:rFonts w:cs="Times New Roman"/>
          <w:i/>
          <w:iCs/>
          <w:szCs w:val="24"/>
        </w:rPr>
        <w:t>International Nursing Review</w:t>
      </w:r>
      <w:r w:rsidRPr="008213FA">
        <w:rPr>
          <w:rFonts w:cs="Times New Roman"/>
          <w:szCs w:val="24"/>
        </w:rPr>
        <w:t>, </w:t>
      </w:r>
      <w:r w:rsidRPr="008213FA">
        <w:rPr>
          <w:rFonts w:cs="Times New Roman"/>
          <w:i/>
          <w:iCs/>
          <w:szCs w:val="24"/>
        </w:rPr>
        <w:t>67</w:t>
      </w:r>
      <w:r w:rsidRPr="008213FA">
        <w:rPr>
          <w:rFonts w:cs="Times New Roman"/>
          <w:szCs w:val="24"/>
        </w:rPr>
        <w:t>(3), 380-386.</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Özkoç</w:t>
      </w:r>
      <w:proofErr w:type="spellEnd"/>
      <w:r w:rsidRPr="008213FA">
        <w:rPr>
          <w:rFonts w:cs="Times New Roman"/>
          <w:szCs w:val="24"/>
        </w:rPr>
        <w:t>, A. G. (2016). Job autonomy and work alienation: organizational and occupational identification as a mediator. </w:t>
      </w:r>
      <w:r w:rsidRPr="008213FA">
        <w:rPr>
          <w:rFonts w:cs="Times New Roman"/>
          <w:i/>
          <w:iCs/>
          <w:szCs w:val="24"/>
        </w:rPr>
        <w:t>European Journal of Business and Management</w:t>
      </w:r>
      <w:r w:rsidRPr="008213FA">
        <w:rPr>
          <w:rFonts w:cs="Times New Roman"/>
          <w:szCs w:val="24"/>
        </w:rPr>
        <w:t>, </w:t>
      </w:r>
      <w:r w:rsidRPr="008213FA">
        <w:rPr>
          <w:rFonts w:cs="Times New Roman"/>
          <w:i/>
          <w:iCs/>
          <w:szCs w:val="24"/>
        </w:rPr>
        <w:t>8</w:t>
      </w:r>
      <w:r w:rsidRPr="008213FA">
        <w:rPr>
          <w:rFonts w:cs="Times New Roman"/>
          <w:szCs w:val="24"/>
        </w:rPr>
        <w:t>(11), 61-73.</w:t>
      </w:r>
    </w:p>
    <w:p w:rsidR="00F14804" w:rsidRPr="008213FA" w:rsidRDefault="00F14804" w:rsidP="00F14804">
      <w:pPr>
        <w:spacing w:line="240" w:lineRule="auto"/>
        <w:ind w:left="720" w:hanging="720"/>
        <w:rPr>
          <w:rFonts w:cs="Times New Roman"/>
          <w:szCs w:val="24"/>
        </w:rPr>
      </w:pPr>
      <w:r w:rsidRPr="008213FA">
        <w:rPr>
          <w:rFonts w:cs="Times New Roman"/>
          <w:szCs w:val="24"/>
        </w:rPr>
        <w:t>Parker, S. K. (2014). Beyond motivation: Job and work design for development, health, ambidexterity, and more. </w:t>
      </w:r>
      <w:r w:rsidRPr="008213FA">
        <w:rPr>
          <w:rFonts w:cs="Times New Roman"/>
          <w:i/>
          <w:iCs/>
          <w:szCs w:val="24"/>
        </w:rPr>
        <w:t>Annual review of psychology</w:t>
      </w:r>
      <w:r w:rsidRPr="008213FA">
        <w:rPr>
          <w:rFonts w:cs="Times New Roman"/>
          <w:szCs w:val="24"/>
        </w:rPr>
        <w:t>, </w:t>
      </w:r>
      <w:r w:rsidRPr="008213FA">
        <w:rPr>
          <w:rFonts w:cs="Times New Roman"/>
          <w:i/>
          <w:iCs/>
          <w:szCs w:val="24"/>
        </w:rPr>
        <w:t>65</w:t>
      </w:r>
      <w:r w:rsidRPr="008213FA">
        <w:rPr>
          <w:rFonts w:cs="Times New Roman"/>
          <w:szCs w:val="24"/>
        </w:rPr>
        <w:t>(1), 661-691.</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Parker, S. K., Andrei, D. M., &amp; Van den Broeck, A. (2019). Poor work design begets poor work design: Capacity and willingness antecedents of individual work design </w:t>
      </w:r>
      <w:proofErr w:type="spellStart"/>
      <w:r w:rsidRPr="008213FA">
        <w:rPr>
          <w:rFonts w:cs="Times New Roman"/>
          <w:szCs w:val="24"/>
        </w:rPr>
        <w:t>behavior</w:t>
      </w:r>
      <w:proofErr w:type="spellEnd"/>
      <w:r w:rsidRPr="008213FA">
        <w:rPr>
          <w:rFonts w:cs="Times New Roman"/>
          <w:szCs w:val="24"/>
        </w:rPr>
        <w:t>. </w:t>
      </w:r>
      <w:r w:rsidRPr="008213FA">
        <w:rPr>
          <w:rFonts w:cs="Times New Roman"/>
          <w:i/>
          <w:iCs/>
          <w:szCs w:val="24"/>
        </w:rPr>
        <w:t>Journal of Applied Psychology</w:t>
      </w:r>
      <w:r w:rsidRPr="008213FA">
        <w:rPr>
          <w:rFonts w:cs="Times New Roman"/>
          <w:szCs w:val="24"/>
        </w:rPr>
        <w:t>, </w:t>
      </w:r>
      <w:r w:rsidRPr="008213FA">
        <w:rPr>
          <w:rFonts w:cs="Times New Roman"/>
          <w:i/>
          <w:iCs/>
          <w:szCs w:val="24"/>
        </w:rPr>
        <w:t>104</w:t>
      </w:r>
      <w:r w:rsidRPr="008213FA">
        <w:rPr>
          <w:rFonts w:cs="Times New Roman"/>
          <w:szCs w:val="24"/>
        </w:rPr>
        <w:t>(7), 907.</w:t>
      </w:r>
    </w:p>
    <w:p w:rsidR="00F14804" w:rsidRPr="008213FA" w:rsidRDefault="00F14804" w:rsidP="00F14804">
      <w:pPr>
        <w:spacing w:line="240" w:lineRule="auto"/>
        <w:ind w:left="720" w:hanging="720"/>
        <w:rPr>
          <w:rFonts w:cs="Times New Roman"/>
          <w:szCs w:val="24"/>
        </w:rPr>
      </w:pPr>
      <w:bookmarkStart w:id="6" w:name="_Hlk211607200"/>
      <w:r w:rsidRPr="008213FA">
        <w:rPr>
          <w:rFonts w:cs="Times New Roman"/>
          <w:szCs w:val="24"/>
        </w:rPr>
        <w:t>Parker, S. K., Van den Broeck, A., &amp; Holman, D. (2017</w:t>
      </w:r>
      <w:bookmarkEnd w:id="6"/>
      <w:r w:rsidRPr="008213FA">
        <w:rPr>
          <w:rFonts w:cs="Times New Roman"/>
          <w:szCs w:val="24"/>
        </w:rPr>
        <w:t>). Work design influences: A synthesis of multilevel factors that affect the design of jobs. </w:t>
      </w:r>
      <w:r w:rsidRPr="008213FA">
        <w:rPr>
          <w:rFonts w:cs="Times New Roman"/>
          <w:i/>
          <w:iCs/>
          <w:szCs w:val="24"/>
        </w:rPr>
        <w:t>Academy of Management Annals</w:t>
      </w:r>
      <w:r w:rsidRPr="008213FA">
        <w:rPr>
          <w:rFonts w:cs="Times New Roman"/>
          <w:szCs w:val="24"/>
        </w:rPr>
        <w:t>, </w:t>
      </w:r>
      <w:r w:rsidRPr="008213FA">
        <w:rPr>
          <w:rFonts w:cs="Times New Roman"/>
          <w:i/>
          <w:iCs/>
          <w:szCs w:val="24"/>
        </w:rPr>
        <w:t>11</w:t>
      </w:r>
      <w:r w:rsidRPr="008213FA">
        <w:rPr>
          <w:rFonts w:cs="Times New Roman"/>
          <w:szCs w:val="24"/>
        </w:rPr>
        <w:t>(1), 267-308.</w:t>
      </w:r>
    </w:p>
    <w:p w:rsidR="00F14804" w:rsidRPr="008213FA" w:rsidRDefault="00F14804" w:rsidP="00F14804">
      <w:pPr>
        <w:spacing w:line="240" w:lineRule="auto"/>
        <w:ind w:left="720" w:hanging="720"/>
        <w:rPr>
          <w:rFonts w:cs="Times New Roman"/>
          <w:szCs w:val="24"/>
        </w:rPr>
      </w:pPr>
      <w:bookmarkStart w:id="7" w:name="_Hlk211612280"/>
      <w:proofErr w:type="spellStart"/>
      <w:r w:rsidRPr="008213FA">
        <w:rPr>
          <w:rFonts w:cs="Times New Roman"/>
          <w:szCs w:val="24"/>
        </w:rPr>
        <w:t>Pursio</w:t>
      </w:r>
      <w:proofErr w:type="spellEnd"/>
      <w:r w:rsidRPr="008213FA">
        <w:rPr>
          <w:rFonts w:cs="Times New Roman"/>
          <w:szCs w:val="24"/>
        </w:rPr>
        <w:t>, K., Kankkunen, P., Sanner‐Stiehr, E., &amp; Kvist, T. (2021)</w:t>
      </w:r>
      <w:bookmarkEnd w:id="7"/>
      <w:r w:rsidRPr="008213FA">
        <w:rPr>
          <w:rFonts w:cs="Times New Roman"/>
          <w:szCs w:val="24"/>
        </w:rPr>
        <w:t>. Professional autonomy in nursing: An integrative review. </w:t>
      </w:r>
      <w:r w:rsidRPr="008213FA">
        <w:rPr>
          <w:rFonts w:cs="Times New Roman"/>
          <w:i/>
          <w:iCs/>
          <w:szCs w:val="24"/>
        </w:rPr>
        <w:t>Journal of nursing management</w:t>
      </w:r>
      <w:r w:rsidRPr="008213FA">
        <w:rPr>
          <w:rFonts w:cs="Times New Roman"/>
          <w:szCs w:val="24"/>
        </w:rPr>
        <w:t>, </w:t>
      </w:r>
      <w:r w:rsidRPr="008213FA">
        <w:rPr>
          <w:rFonts w:cs="Times New Roman"/>
          <w:i/>
          <w:iCs/>
          <w:szCs w:val="24"/>
        </w:rPr>
        <w:t>29</w:t>
      </w:r>
      <w:r w:rsidRPr="008213FA">
        <w:rPr>
          <w:rFonts w:cs="Times New Roman"/>
          <w:szCs w:val="24"/>
        </w:rPr>
        <w:t>(6), 1565-1577.</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Sageer</w:t>
      </w:r>
      <w:proofErr w:type="spellEnd"/>
      <w:r w:rsidRPr="008213FA">
        <w:rPr>
          <w:rFonts w:cs="Times New Roman"/>
          <w:szCs w:val="24"/>
        </w:rPr>
        <w:t>, A., Rafat, S., &amp; Agarwal, P. (2012). Identification of variables affecting employee satisfaction and their impact on the organization. </w:t>
      </w:r>
      <w:r w:rsidRPr="008213FA">
        <w:rPr>
          <w:rFonts w:cs="Times New Roman"/>
          <w:i/>
          <w:iCs/>
          <w:szCs w:val="24"/>
        </w:rPr>
        <w:t>IOSR Journal of business and management</w:t>
      </w:r>
      <w:r w:rsidRPr="008213FA">
        <w:rPr>
          <w:rFonts w:cs="Times New Roman"/>
          <w:szCs w:val="24"/>
        </w:rPr>
        <w:t>, </w:t>
      </w:r>
      <w:r w:rsidRPr="008213FA">
        <w:rPr>
          <w:rFonts w:cs="Times New Roman"/>
          <w:i/>
          <w:iCs/>
          <w:szCs w:val="24"/>
        </w:rPr>
        <w:t>5</w:t>
      </w:r>
      <w:r w:rsidRPr="008213FA">
        <w:rPr>
          <w:rFonts w:cs="Times New Roman"/>
          <w:szCs w:val="24"/>
        </w:rPr>
        <w:t>(1), 32-39.</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Sangkala</w:t>
      </w:r>
      <w:proofErr w:type="spellEnd"/>
      <w:r w:rsidRPr="008213FA">
        <w:rPr>
          <w:rFonts w:cs="Times New Roman"/>
          <w:szCs w:val="24"/>
        </w:rPr>
        <w:t>, M., Ahmed, U., &amp; Pahi, H. M. (2016). Empirical investigating on the role of supervisor support, job clarity, employee training and performance appraisal in addressing job satisfaction of nurses. </w:t>
      </w:r>
      <w:r w:rsidRPr="008213FA">
        <w:rPr>
          <w:rFonts w:cs="Times New Roman"/>
          <w:i/>
          <w:iCs/>
          <w:szCs w:val="24"/>
        </w:rPr>
        <w:t>International Business Management</w:t>
      </w:r>
      <w:r w:rsidRPr="008213FA">
        <w:rPr>
          <w:rFonts w:cs="Times New Roman"/>
          <w:szCs w:val="24"/>
        </w:rPr>
        <w:t>, </w:t>
      </w:r>
      <w:r w:rsidRPr="008213FA">
        <w:rPr>
          <w:rFonts w:cs="Times New Roman"/>
          <w:i/>
          <w:iCs/>
          <w:szCs w:val="24"/>
        </w:rPr>
        <w:t>10</w:t>
      </w:r>
      <w:r w:rsidRPr="008213FA">
        <w:rPr>
          <w:rFonts w:cs="Times New Roman"/>
          <w:szCs w:val="24"/>
        </w:rPr>
        <w:t>(23), 5481-5486.</w:t>
      </w:r>
    </w:p>
    <w:p w:rsidR="00F14804" w:rsidRPr="008213FA" w:rsidRDefault="00F14804" w:rsidP="00F14804">
      <w:pPr>
        <w:spacing w:line="240" w:lineRule="auto"/>
        <w:ind w:left="720" w:hanging="720"/>
        <w:rPr>
          <w:rFonts w:cs="Times New Roman"/>
          <w:szCs w:val="24"/>
        </w:rPr>
      </w:pPr>
      <w:bookmarkStart w:id="8" w:name="_Hlk211613099"/>
      <w:proofErr w:type="spellStart"/>
      <w:r w:rsidRPr="008213FA">
        <w:rPr>
          <w:rFonts w:cs="Times New Roman"/>
          <w:szCs w:val="24"/>
        </w:rPr>
        <w:t>Sudiardhita</w:t>
      </w:r>
      <w:bookmarkEnd w:id="8"/>
      <w:proofErr w:type="spellEnd"/>
      <w:r w:rsidRPr="008213FA">
        <w:rPr>
          <w:rFonts w:cs="Times New Roman"/>
          <w:szCs w:val="24"/>
        </w:rPr>
        <w:t xml:space="preserve">, K. I., Mukhtar, S., Hartono, B., </w:t>
      </w:r>
      <w:proofErr w:type="spellStart"/>
      <w:r w:rsidRPr="008213FA">
        <w:rPr>
          <w:rFonts w:cs="Times New Roman"/>
          <w:szCs w:val="24"/>
        </w:rPr>
        <w:t>Sariwulan</w:t>
      </w:r>
      <w:proofErr w:type="spellEnd"/>
      <w:r w:rsidRPr="008213FA">
        <w:rPr>
          <w:rFonts w:cs="Times New Roman"/>
          <w:szCs w:val="24"/>
        </w:rPr>
        <w:t xml:space="preserve">, T., &amp; </w:t>
      </w:r>
      <w:proofErr w:type="spellStart"/>
      <w:r w:rsidRPr="008213FA">
        <w:rPr>
          <w:rFonts w:cs="Times New Roman"/>
          <w:szCs w:val="24"/>
        </w:rPr>
        <w:t>Nikensari</w:t>
      </w:r>
      <w:proofErr w:type="spellEnd"/>
      <w:r w:rsidRPr="008213FA">
        <w:rPr>
          <w:rFonts w:cs="Times New Roman"/>
          <w:szCs w:val="24"/>
        </w:rPr>
        <w:t xml:space="preserve">, S. I. (2018). The effect of compensation, motivation of employee and work satisfaction to employee performance Pt. Bank </w:t>
      </w:r>
      <w:proofErr w:type="spellStart"/>
      <w:r w:rsidRPr="008213FA">
        <w:rPr>
          <w:rFonts w:cs="Times New Roman"/>
          <w:szCs w:val="24"/>
        </w:rPr>
        <w:t>Xyz</w:t>
      </w:r>
      <w:proofErr w:type="spellEnd"/>
      <w:r w:rsidRPr="008213FA">
        <w:rPr>
          <w:rFonts w:cs="Times New Roman"/>
          <w:szCs w:val="24"/>
        </w:rPr>
        <w:t xml:space="preserve"> (Persero) </w:t>
      </w:r>
      <w:proofErr w:type="spellStart"/>
      <w:r w:rsidRPr="008213FA">
        <w:rPr>
          <w:rFonts w:cs="Times New Roman"/>
          <w:szCs w:val="24"/>
        </w:rPr>
        <w:t>Tbk</w:t>
      </w:r>
      <w:proofErr w:type="spellEnd"/>
      <w:r w:rsidRPr="008213FA">
        <w:rPr>
          <w:rFonts w:cs="Times New Roman"/>
          <w:szCs w:val="24"/>
        </w:rPr>
        <w:t>. </w:t>
      </w:r>
      <w:r w:rsidRPr="008213FA">
        <w:rPr>
          <w:rFonts w:cs="Times New Roman"/>
          <w:i/>
          <w:iCs/>
          <w:szCs w:val="24"/>
        </w:rPr>
        <w:t>Academy of Strategic Management Journal</w:t>
      </w:r>
      <w:r w:rsidRPr="008213FA">
        <w:rPr>
          <w:rFonts w:cs="Times New Roman"/>
          <w:szCs w:val="24"/>
        </w:rPr>
        <w:t>, </w:t>
      </w:r>
      <w:r w:rsidRPr="008213FA">
        <w:rPr>
          <w:rFonts w:cs="Times New Roman"/>
          <w:i/>
          <w:iCs/>
          <w:szCs w:val="24"/>
        </w:rPr>
        <w:t>17</w:t>
      </w:r>
      <w:r w:rsidRPr="008213FA">
        <w:rPr>
          <w:rFonts w:cs="Times New Roman"/>
          <w:szCs w:val="24"/>
        </w:rPr>
        <w:t>(4), 1-14.</w:t>
      </w:r>
    </w:p>
    <w:p w:rsidR="00F14804" w:rsidRPr="008213FA" w:rsidRDefault="00F14804" w:rsidP="00F14804">
      <w:pPr>
        <w:spacing w:line="240" w:lineRule="auto"/>
        <w:ind w:left="720" w:hanging="720"/>
        <w:rPr>
          <w:rFonts w:cs="Times New Roman"/>
          <w:szCs w:val="24"/>
        </w:rPr>
      </w:pPr>
      <w:r w:rsidRPr="008213FA">
        <w:rPr>
          <w:rFonts w:cs="Times New Roman"/>
          <w:szCs w:val="24"/>
        </w:rPr>
        <w:t xml:space="preserve">Sulaiman, A. A., Effendi, A. A., &amp; </w:t>
      </w:r>
      <w:proofErr w:type="spellStart"/>
      <w:r w:rsidRPr="008213FA">
        <w:rPr>
          <w:rFonts w:cs="Times New Roman"/>
          <w:szCs w:val="24"/>
        </w:rPr>
        <w:t>Aladwan</w:t>
      </w:r>
      <w:proofErr w:type="spellEnd"/>
      <w:r w:rsidRPr="008213FA">
        <w:rPr>
          <w:rFonts w:cs="Times New Roman"/>
          <w:szCs w:val="24"/>
        </w:rPr>
        <w:t>, S. I. (2024). Relationships between self-efficacy, autonomy, employee engagement, and performance in Nigerian public sector organizations. </w:t>
      </w:r>
      <w:r w:rsidRPr="008213FA">
        <w:rPr>
          <w:rFonts w:cs="Times New Roman"/>
          <w:i/>
          <w:iCs/>
          <w:szCs w:val="24"/>
        </w:rPr>
        <w:t>Global Business and Management Research</w:t>
      </w:r>
      <w:r w:rsidRPr="008213FA">
        <w:rPr>
          <w:rFonts w:cs="Times New Roman"/>
          <w:szCs w:val="24"/>
        </w:rPr>
        <w:t>, </w:t>
      </w:r>
      <w:r w:rsidRPr="008213FA">
        <w:rPr>
          <w:rFonts w:cs="Times New Roman"/>
          <w:i/>
          <w:iCs/>
          <w:szCs w:val="24"/>
        </w:rPr>
        <w:t>16</w:t>
      </w:r>
      <w:r w:rsidRPr="008213FA">
        <w:rPr>
          <w:rFonts w:cs="Times New Roman"/>
          <w:szCs w:val="24"/>
        </w:rPr>
        <w:t>(4s), 1188-1204.</w:t>
      </w:r>
    </w:p>
    <w:p w:rsidR="00F14804" w:rsidRPr="008213FA" w:rsidRDefault="00F14804" w:rsidP="00F14804">
      <w:pPr>
        <w:spacing w:line="240" w:lineRule="auto"/>
        <w:ind w:left="720" w:hanging="720"/>
        <w:rPr>
          <w:rFonts w:cs="Times New Roman"/>
          <w:szCs w:val="24"/>
        </w:rPr>
      </w:pPr>
      <w:r w:rsidRPr="008213FA">
        <w:rPr>
          <w:rFonts w:cs="Times New Roman"/>
          <w:szCs w:val="24"/>
        </w:rPr>
        <w:t>Ugoani, J. (2020). Effective Delegation and its impact on employee Performance. </w:t>
      </w:r>
      <w:r w:rsidRPr="008213FA">
        <w:rPr>
          <w:rFonts w:cs="Times New Roman"/>
          <w:i/>
          <w:iCs/>
          <w:szCs w:val="24"/>
        </w:rPr>
        <w:t>International Journal of Economics and Business Administration</w:t>
      </w:r>
      <w:r w:rsidRPr="008213FA">
        <w:rPr>
          <w:rFonts w:cs="Times New Roman"/>
          <w:szCs w:val="24"/>
        </w:rPr>
        <w:t>, </w:t>
      </w:r>
      <w:r w:rsidRPr="008213FA">
        <w:rPr>
          <w:rFonts w:cs="Times New Roman"/>
          <w:i/>
          <w:iCs/>
          <w:szCs w:val="24"/>
        </w:rPr>
        <w:t>6</w:t>
      </w:r>
      <w:r w:rsidRPr="008213FA">
        <w:rPr>
          <w:rFonts w:cs="Times New Roman"/>
          <w:szCs w:val="24"/>
        </w:rPr>
        <w:t>(3), 78-87.</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Uwannah</w:t>
      </w:r>
      <w:proofErr w:type="spellEnd"/>
      <w:r w:rsidRPr="008213FA">
        <w:rPr>
          <w:rFonts w:cs="Times New Roman"/>
          <w:szCs w:val="24"/>
        </w:rPr>
        <w:t xml:space="preserve">, N. C., </w:t>
      </w:r>
      <w:proofErr w:type="spellStart"/>
      <w:r w:rsidRPr="008213FA">
        <w:rPr>
          <w:rFonts w:cs="Times New Roman"/>
          <w:szCs w:val="24"/>
        </w:rPr>
        <w:t>Egwuonwu</w:t>
      </w:r>
      <w:proofErr w:type="spellEnd"/>
      <w:r w:rsidRPr="008213FA">
        <w:rPr>
          <w:rFonts w:cs="Times New Roman"/>
          <w:szCs w:val="24"/>
        </w:rPr>
        <w:t>, C. O. K., &amp; James, N. C. (2022). Job Autonomy, Workload and Home-Work Conflict as Predictors of Job Satisfaction among Employed Women in Academia. </w:t>
      </w:r>
      <w:r w:rsidRPr="008213FA">
        <w:rPr>
          <w:rFonts w:cs="Times New Roman"/>
          <w:i/>
          <w:iCs/>
          <w:szCs w:val="24"/>
        </w:rPr>
        <w:t>European Journal of Educational Management</w:t>
      </w:r>
      <w:r w:rsidRPr="008213FA">
        <w:rPr>
          <w:rFonts w:cs="Times New Roman"/>
          <w:szCs w:val="24"/>
        </w:rPr>
        <w:t>, </w:t>
      </w:r>
      <w:r w:rsidRPr="008213FA">
        <w:rPr>
          <w:rFonts w:cs="Times New Roman"/>
          <w:i/>
          <w:iCs/>
          <w:szCs w:val="24"/>
        </w:rPr>
        <w:t>5</w:t>
      </w:r>
      <w:r w:rsidRPr="008213FA">
        <w:rPr>
          <w:rFonts w:cs="Times New Roman"/>
          <w:szCs w:val="24"/>
        </w:rPr>
        <w:t>(1), 35-48.</w:t>
      </w:r>
    </w:p>
    <w:p w:rsidR="00F14804" w:rsidRPr="008213FA" w:rsidRDefault="00F14804" w:rsidP="00F14804">
      <w:pPr>
        <w:spacing w:line="240" w:lineRule="auto"/>
        <w:ind w:left="720" w:hanging="720"/>
        <w:rPr>
          <w:rFonts w:cs="Times New Roman"/>
          <w:szCs w:val="24"/>
        </w:rPr>
      </w:pPr>
      <w:bookmarkStart w:id="9" w:name="_Hlk213428213"/>
      <w:r w:rsidRPr="008213FA">
        <w:rPr>
          <w:rFonts w:cs="Times New Roman"/>
          <w:szCs w:val="24"/>
        </w:rPr>
        <w:t xml:space="preserve">Vitalis, O. U. (2024). </w:t>
      </w:r>
      <w:r w:rsidRPr="008213FA">
        <w:rPr>
          <w:rFonts w:cs="Times New Roman"/>
          <w:i/>
          <w:iCs/>
          <w:szCs w:val="24"/>
        </w:rPr>
        <w:t>The comparative analysis of employees’ job satisfaction and motivational factors in public vs private organization in South East.</w:t>
      </w:r>
      <w:r w:rsidRPr="008213FA">
        <w:rPr>
          <w:rFonts w:cs="Times New Roman"/>
          <w:szCs w:val="24"/>
        </w:rPr>
        <w:t xml:space="preserve"> </w:t>
      </w:r>
      <w:r w:rsidRPr="008213FA">
        <w:rPr>
          <w:rFonts w:cs="Times New Roman"/>
          <w:i/>
          <w:iCs/>
          <w:szCs w:val="24"/>
        </w:rPr>
        <w:t>International Journal of Financial Research and Business Development, 4</w:t>
      </w:r>
      <w:r w:rsidRPr="008213FA">
        <w:rPr>
          <w:rFonts w:cs="Times New Roman"/>
          <w:szCs w:val="24"/>
        </w:rPr>
        <w:t xml:space="preserve">(7). Retrieved from </w:t>
      </w:r>
      <w:hyperlink r:id="rId8" w:history="1">
        <w:r w:rsidRPr="008213FA">
          <w:rPr>
            <w:rStyle w:val="Hyperlink"/>
            <w:rFonts w:cs="Times New Roman"/>
            <w:szCs w:val="24"/>
          </w:rPr>
          <w:t>https://mediterraneanpublications.com/mejfrbd/article/view/365</w:t>
        </w:r>
      </w:hyperlink>
    </w:p>
    <w:bookmarkEnd w:id="9"/>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lastRenderedPageBreak/>
        <w:t>Wandycz</w:t>
      </w:r>
      <w:proofErr w:type="spellEnd"/>
      <w:r w:rsidRPr="008213FA">
        <w:rPr>
          <w:rFonts w:cs="Times New Roman"/>
          <w:szCs w:val="24"/>
        </w:rPr>
        <w:t xml:space="preserve">, J., Roldán, J. L., &amp; López-Cabrales, Á. (2024). </w:t>
      </w:r>
      <w:proofErr w:type="spellStart"/>
      <w:r w:rsidRPr="008213FA">
        <w:rPr>
          <w:rFonts w:cs="Times New Roman"/>
          <w:i/>
          <w:iCs/>
          <w:szCs w:val="24"/>
        </w:rPr>
        <w:t>Analyzing</w:t>
      </w:r>
      <w:proofErr w:type="spellEnd"/>
      <w:r w:rsidRPr="008213FA">
        <w:rPr>
          <w:rFonts w:cs="Times New Roman"/>
          <w:i/>
          <w:iCs/>
          <w:szCs w:val="24"/>
        </w:rPr>
        <w:t xml:space="preserve"> the impact of work meaningfulness on turnover intentions and job satisfaction: A self-determination theory perspective.</w:t>
      </w:r>
      <w:r w:rsidRPr="008213FA">
        <w:rPr>
          <w:rFonts w:cs="Times New Roman"/>
          <w:szCs w:val="24"/>
        </w:rPr>
        <w:t xml:space="preserve"> </w:t>
      </w:r>
      <w:r w:rsidRPr="008213FA">
        <w:rPr>
          <w:rFonts w:cs="Times New Roman"/>
          <w:i/>
          <w:iCs/>
          <w:szCs w:val="24"/>
        </w:rPr>
        <w:t>Journal of Management &amp; Organization</w:t>
      </w:r>
      <w:r w:rsidRPr="008213FA">
        <w:rPr>
          <w:rFonts w:cs="Times New Roman"/>
          <w:szCs w:val="24"/>
        </w:rPr>
        <w:t>, 1–24. Advance online publication. Cambridge University Press.</w:t>
      </w:r>
    </w:p>
    <w:p w:rsidR="00F14804" w:rsidRPr="008213FA" w:rsidRDefault="00F14804" w:rsidP="00F14804">
      <w:pPr>
        <w:spacing w:line="240" w:lineRule="auto"/>
        <w:ind w:left="720" w:hanging="720"/>
        <w:rPr>
          <w:rFonts w:cs="Times New Roman"/>
          <w:szCs w:val="24"/>
        </w:rPr>
      </w:pPr>
      <w:proofErr w:type="spellStart"/>
      <w:r w:rsidRPr="008213FA">
        <w:rPr>
          <w:rFonts w:cs="Times New Roman"/>
          <w:szCs w:val="24"/>
        </w:rPr>
        <w:t>Winkelhaus</w:t>
      </w:r>
      <w:proofErr w:type="spellEnd"/>
      <w:r w:rsidRPr="008213FA">
        <w:rPr>
          <w:rFonts w:cs="Times New Roman"/>
          <w:szCs w:val="24"/>
        </w:rPr>
        <w:t>, S., Grosse, E. H., &amp; Glock, C. H. (2022). Job satisfaction: An explorative study on work characteristics changes of employees in Intralogistics 4.0. </w:t>
      </w:r>
      <w:r w:rsidRPr="008213FA">
        <w:rPr>
          <w:rFonts w:cs="Times New Roman"/>
          <w:i/>
          <w:iCs/>
          <w:szCs w:val="24"/>
        </w:rPr>
        <w:t>Journal of Business Logistics</w:t>
      </w:r>
      <w:r w:rsidRPr="008213FA">
        <w:rPr>
          <w:rFonts w:cs="Times New Roman"/>
          <w:szCs w:val="24"/>
        </w:rPr>
        <w:t>, </w:t>
      </w:r>
      <w:r w:rsidRPr="008213FA">
        <w:rPr>
          <w:rFonts w:cs="Times New Roman"/>
          <w:i/>
          <w:iCs/>
          <w:szCs w:val="24"/>
        </w:rPr>
        <w:t>43</w:t>
      </w:r>
      <w:r w:rsidRPr="008213FA">
        <w:rPr>
          <w:rFonts w:cs="Times New Roman"/>
          <w:szCs w:val="24"/>
        </w:rPr>
        <w:t>(3), 343-367.</w:t>
      </w:r>
    </w:p>
    <w:p w:rsidR="00F14804" w:rsidRPr="008213FA" w:rsidRDefault="00F14804" w:rsidP="00F14804">
      <w:pPr>
        <w:spacing w:line="240" w:lineRule="auto"/>
        <w:ind w:left="720" w:hanging="720"/>
        <w:rPr>
          <w:rFonts w:cs="Times New Roman"/>
          <w:szCs w:val="24"/>
        </w:rPr>
      </w:pPr>
      <w:r w:rsidRPr="008213FA">
        <w:rPr>
          <w:rFonts w:cs="Times New Roman"/>
          <w:szCs w:val="24"/>
        </w:rPr>
        <w:t>Yucel, D. (2019). Job autonomy and schedule flexibility as moderators of the relationship between work-family conflict and work-related outcomes. </w:t>
      </w:r>
      <w:r w:rsidRPr="008213FA">
        <w:rPr>
          <w:rFonts w:cs="Times New Roman"/>
          <w:i/>
          <w:iCs/>
          <w:szCs w:val="24"/>
        </w:rPr>
        <w:t>Applied Research in Quality of Life</w:t>
      </w:r>
      <w:r w:rsidRPr="008213FA">
        <w:rPr>
          <w:rFonts w:cs="Times New Roman"/>
          <w:szCs w:val="24"/>
        </w:rPr>
        <w:t>, </w:t>
      </w:r>
      <w:r w:rsidRPr="008213FA">
        <w:rPr>
          <w:rFonts w:cs="Times New Roman"/>
          <w:i/>
          <w:iCs/>
          <w:szCs w:val="24"/>
        </w:rPr>
        <w:t>14</w:t>
      </w:r>
      <w:r w:rsidRPr="008213FA">
        <w:rPr>
          <w:rFonts w:cs="Times New Roman"/>
          <w:szCs w:val="24"/>
        </w:rPr>
        <w:t>(5), 1393-1410.</w:t>
      </w:r>
    </w:p>
    <w:p w:rsidR="00F14804" w:rsidRPr="008213FA" w:rsidRDefault="00F14804" w:rsidP="00F14804">
      <w:pPr>
        <w:spacing w:line="240" w:lineRule="auto"/>
        <w:ind w:left="720" w:hanging="720"/>
        <w:rPr>
          <w:rFonts w:cs="Times New Roman"/>
          <w:szCs w:val="24"/>
        </w:rPr>
      </w:pPr>
      <w:r w:rsidRPr="008213FA">
        <w:rPr>
          <w:rFonts w:cs="Times New Roman"/>
          <w:szCs w:val="24"/>
        </w:rPr>
        <w:t>Zhang, N., &amp; He, X. (2022). Role stress, job autonomy, and burnout: The mediating effect of job satisfaction among social workers in China. </w:t>
      </w:r>
      <w:r w:rsidRPr="008213FA">
        <w:rPr>
          <w:rFonts w:cs="Times New Roman"/>
          <w:i/>
          <w:iCs/>
          <w:szCs w:val="24"/>
        </w:rPr>
        <w:t>Journal of Social Service Research</w:t>
      </w:r>
      <w:r w:rsidRPr="008213FA">
        <w:rPr>
          <w:rFonts w:cs="Times New Roman"/>
          <w:szCs w:val="24"/>
        </w:rPr>
        <w:t>, </w:t>
      </w:r>
      <w:r w:rsidRPr="008213FA">
        <w:rPr>
          <w:rFonts w:cs="Times New Roman"/>
          <w:i/>
          <w:iCs/>
          <w:szCs w:val="24"/>
        </w:rPr>
        <w:t>48</w:t>
      </w:r>
      <w:r w:rsidRPr="008213FA">
        <w:rPr>
          <w:rFonts w:cs="Times New Roman"/>
          <w:szCs w:val="24"/>
        </w:rPr>
        <w:t>(3), 365-375.</w:t>
      </w:r>
    </w:p>
    <w:p w:rsidR="00F14804" w:rsidRPr="008213FA" w:rsidRDefault="00F14804" w:rsidP="00F14804">
      <w:pPr>
        <w:spacing w:line="240" w:lineRule="auto"/>
        <w:ind w:left="720" w:hanging="720"/>
        <w:rPr>
          <w:rFonts w:cs="Times New Roman"/>
          <w:szCs w:val="24"/>
        </w:rPr>
      </w:pPr>
      <w:r w:rsidRPr="008213FA">
        <w:rPr>
          <w:rFonts w:cs="Times New Roman"/>
          <w:szCs w:val="24"/>
        </w:rPr>
        <w:t>Zhang, W., Jex, S. M., Peng, Y., &amp; Wang, D. (2017). Exploring the effects of job autonomy on engagement and creativity: The moderating role of performance pressure and learning goal orientation. </w:t>
      </w:r>
      <w:r w:rsidRPr="008213FA">
        <w:rPr>
          <w:rFonts w:cs="Times New Roman"/>
          <w:i/>
          <w:iCs/>
          <w:szCs w:val="24"/>
        </w:rPr>
        <w:t>Journal of Business and Psychology</w:t>
      </w:r>
      <w:r w:rsidRPr="008213FA">
        <w:rPr>
          <w:rFonts w:cs="Times New Roman"/>
          <w:szCs w:val="24"/>
        </w:rPr>
        <w:t>, </w:t>
      </w:r>
      <w:r w:rsidRPr="008213FA">
        <w:rPr>
          <w:rFonts w:cs="Times New Roman"/>
          <w:i/>
          <w:iCs/>
          <w:szCs w:val="24"/>
        </w:rPr>
        <w:t>32</w:t>
      </w:r>
      <w:r w:rsidRPr="008213FA">
        <w:rPr>
          <w:rFonts w:cs="Times New Roman"/>
          <w:szCs w:val="24"/>
        </w:rPr>
        <w:t>(3), 235-251.</w:t>
      </w:r>
    </w:p>
    <w:p w:rsidR="00F14804" w:rsidRDefault="00F14804" w:rsidP="00F14804">
      <w:pPr>
        <w:spacing w:line="240" w:lineRule="auto"/>
        <w:ind w:left="720" w:hanging="720"/>
        <w:rPr>
          <w:rFonts w:cs="Times New Roman"/>
          <w:szCs w:val="24"/>
        </w:rPr>
      </w:pPr>
      <w:proofErr w:type="spellStart"/>
      <w:r w:rsidRPr="008213FA">
        <w:rPr>
          <w:rFonts w:cs="Times New Roman"/>
          <w:szCs w:val="24"/>
        </w:rPr>
        <w:t>Zychová</w:t>
      </w:r>
      <w:proofErr w:type="spellEnd"/>
      <w:r w:rsidRPr="008213FA">
        <w:rPr>
          <w:rFonts w:cs="Times New Roman"/>
          <w:szCs w:val="24"/>
        </w:rPr>
        <w:t xml:space="preserve">, K., </w:t>
      </w:r>
      <w:proofErr w:type="spellStart"/>
      <w:r w:rsidRPr="008213FA">
        <w:rPr>
          <w:rFonts w:cs="Times New Roman"/>
          <w:szCs w:val="24"/>
        </w:rPr>
        <w:t>Fejfarová</w:t>
      </w:r>
      <w:proofErr w:type="spellEnd"/>
      <w:r w:rsidRPr="008213FA">
        <w:rPr>
          <w:rFonts w:cs="Times New Roman"/>
          <w:szCs w:val="24"/>
        </w:rPr>
        <w:t>, M., &amp; Jindrová, A. (2024). Job autonomy as a driver of job satisfaction. </w:t>
      </w:r>
      <w:r w:rsidRPr="008213FA">
        <w:rPr>
          <w:rFonts w:cs="Times New Roman"/>
          <w:i/>
          <w:iCs/>
          <w:szCs w:val="24"/>
        </w:rPr>
        <w:t>Central European Business Review</w:t>
      </w:r>
      <w:r w:rsidRPr="008213FA">
        <w:rPr>
          <w:rFonts w:cs="Times New Roman"/>
          <w:szCs w:val="24"/>
        </w:rPr>
        <w:t>, </w:t>
      </w:r>
      <w:r w:rsidRPr="008213FA">
        <w:rPr>
          <w:rFonts w:cs="Times New Roman"/>
          <w:i/>
          <w:iCs/>
          <w:szCs w:val="24"/>
        </w:rPr>
        <w:t>13</w:t>
      </w:r>
      <w:r w:rsidRPr="008213FA">
        <w:rPr>
          <w:rFonts w:cs="Times New Roman"/>
          <w:szCs w:val="24"/>
        </w:rPr>
        <w:t>(2), 117.</w:t>
      </w:r>
    </w:p>
    <w:p w:rsidR="00F14804" w:rsidRDefault="00F14804" w:rsidP="00F14804"/>
    <w:p w:rsidR="00AD7209" w:rsidRPr="00F14804" w:rsidRDefault="00AD7209">
      <w:pPr>
        <w:rPr>
          <w:rFonts w:cs="Times New Roman"/>
          <w:szCs w:val="24"/>
        </w:rPr>
      </w:pPr>
    </w:p>
    <w:sectPr w:rsidR="00AD7209" w:rsidRPr="00F14804" w:rsidSect="00F14804">
      <w:headerReference w:type="default" r:id="rId9"/>
      <w:footerReference w:type="default" r:id="rId10"/>
      <w:pgSz w:w="12240" w:h="15840"/>
      <w:pgMar w:top="1440" w:right="1440" w:bottom="1440" w:left="1440" w:header="708" w:footer="708"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62B" w:rsidRDefault="00A5662B" w:rsidP="00F14804">
      <w:pPr>
        <w:spacing w:after="0" w:line="240" w:lineRule="auto"/>
      </w:pPr>
      <w:r>
        <w:separator/>
      </w:r>
    </w:p>
  </w:endnote>
  <w:endnote w:type="continuationSeparator" w:id="0">
    <w:p w:rsidR="00A5662B" w:rsidRDefault="00A5662B" w:rsidP="00F1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20756"/>
      <w:docPartObj>
        <w:docPartGallery w:val="Page Numbers (Bottom of Page)"/>
        <w:docPartUnique/>
      </w:docPartObj>
    </w:sdtPr>
    <w:sdtEndPr>
      <w:rPr>
        <w:noProof/>
      </w:rPr>
    </w:sdtEndPr>
    <w:sdtContent>
      <w:p w:rsidR="00F14804" w:rsidRDefault="00F148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4804" w:rsidRDefault="00F14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62B" w:rsidRDefault="00A5662B" w:rsidP="00F14804">
      <w:pPr>
        <w:spacing w:after="0" w:line="240" w:lineRule="auto"/>
      </w:pPr>
      <w:r>
        <w:separator/>
      </w:r>
    </w:p>
  </w:footnote>
  <w:footnote w:type="continuationSeparator" w:id="0">
    <w:p w:rsidR="00A5662B" w:rsidRDefault="00A5662B" w:rsidP="00F1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04" w:rsidRDefault="00F14804"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rsidR="00F14804" w:rsidRDefault="00F14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A23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469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04"/>
    <w:rsid w:val="003129EE"/>
    <w:rsid w:val="004216BB"/>
    <w:rsid w:val="00673CC5"/>
    <w:rsid w:val="00A5662B"/>
    <w:rsid w:val="00AD7209"/>
    <w:rsid w:val="00EB6F3F"/>
    <w:rsid w:val="00F14804"/>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BF66"/>
  <w15:chartTrackingRefBased/>
  <w15:docId w15:val="{E9BA41A9-2F36-4B9F-BBA0-C70072CB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04"/>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sz w:val="32"/>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F148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8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8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F148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8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8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04"/>
    <w:rPr>
      <w:rFonts w:eastAsiaTheme="majorEastAsia" w:cstheme="majorBidi"/>
      <w:color w:val="272727" w:themeColor="text1" w:themeTint="D8"/>
    </w:rPr>
  </w:style>
  <w:style w:type="paragraph" w:styleId="Title">
    <w:name w:val="Title"/>
    <w:basedOn w:val="Normal"/>
    <w:next w:val="Normal"/>
    <w:link w:val="TitleChar"/>
    <w:uiPriority w:val="10"/>
    <w:qFormat/>
    <w:rsid w:val="00F1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04"/>
    <w:pPr>
      <w:spacing w:before="160"/>
      <w:jc w:val="center"/>
    </w:pPr>
    <w:rPr>
      <w:i/>
      <w:iCs/>
      <w:color w:val="404040" w:themeColor="text1" w:themeTint="BF"/>
    </w:rPr>
  </w:style>
  <w:style w:type="character" w:customStyle="1" w:styleId="QuoteChar">
    <w:name w:val="Quote Char"/>
    <w:basedOn w:val="DefaultParagraphFont"/>
    <w:link w:val="Quote"/>
    <w:uiPriority w:val="29"/>
    <w:rsid w:val="00F14804"/>
    <w:rPr>
      <w:i/>
      <w:iCs/>
      <w:color w:val="404040" w:themeColor="text1" w:themeTint="BF"/>
    </w:rPr>
  </w:style>
  <w:style w:type="paragraph" w:styleId="ListParagraph">
    <w:name w:val="List Paragraph"/>
    <w:basedOn w:val="Normal"/>
    <w:uiPriority w:val="34"/>
    <w:qFormat/>
    <w:rsid w:val="00F14804"/>
    <w:pPr>
      <w:ind w:left="720"/>
      <w:contextualSpacing/>
    </w:pPr>
  </w:style>
  <w:style w:type="character" w:styleId="IntenseEmphasis">
    <w:name w:val="Intense Emphasis"/>
    <w:basedOn w:val="DefaultParagraphFont"/>
    <w:uiPriority w:val="21"/>
    <w:qFormat/>
    <w:rsid w:val="00F14804"/>
    <w:rPr>
      <w:i/>
      <w:iCs/>
      <w:color w:val="2F5496" w:themeColor="accent1" w:themeShade="BF"/>
    </w:rPr>
  </w:style>
  <w:style w:type="paragraph" w:styleId="IntenseQuote">
    <w:name w:val="Intense Quote"/>
    <w:basedOn w:val="Normal"/>
    <w:next w:val="Normal"/>
    <w:link w:val="IntenseQuoteChar"/>
    <w:uiPriority w:val="30"/>
    <w:qFormat/>
    <w:rsid w:val="00F14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804"/>
    <w:rPr>
      <w:i/>
      <w:iCs/>
      <w:color w:val="2F5496" w:themeColor="accent1" w:themeShade="BF"/>
    </w:rPr>
  </w:style>
  <w:style w:type="character" w:styleId="IntenseReference">
    <w:name w:val="Intense Reference"/>
    <w:basedOn w:val="DefaultParagraphFont"/>
    <w:uiPriority w:val="32"/>
    <w:qFormat/>
    <w:rsid w:val="00F14804"/>
    <w:rPr>
      <w:b/>
      <w:bCs/>
      <w:smallCaps/>
      <w:color w:val="2F5496" w:themeColor="accent1" w:themeShade="BF"/>
      <w:spacing w:val="5"/>
    </w:rPr>
  </w:style>
  <w:style w:type="paragraph" w:styleId="NormalWeb">
    <w:name w:val="Normal (Web)"/>
    <w:basedOn w:val="Normal"/>
    <w:uiPriority w:val="99"/>
    <w:unhideWhenUsed/>
    <w:qFormat/>
    <w:rsid w:val="00F14804"/>
    <w:pPr>
      <w:spacing w:before="100" w:beforeAutospacing="1" w:after="100" w:afterAutospacing="1" w:line="240" w:lineRule="auto"/>
      <w:jc w:val="left"/>
    </w:pPr>
    <w:rPr>
      <w:rFonts w:eastAsia="Times New Roman" w:cs="Times New Roman"/>
      <w:szCs w:val="24"/>
      <w:lang w:eastAsia="en-GB"/>
    </w:rPr>
  </w:style>
  <w:style w:type="table" w:styleId="TableGrid">
    <w:name w:val="Table Grid"/>
    <w:basedOn w:val="TableNormal"/>
    <w:uiPriority w:val="39"/>
    <w:qFormat/>
    <w:rsid w:val="00F14804"/>
    <w:pPr>
      <w:spacing w:after="0" w:line="240" w:lineRule="auto"/>
    </w:pPr>
    <w:rPr>
      <w:rFonts w:eastAsiaTheme="minorEastAsia"/>
      <w:kern w:val="0"/>
      <w:lang w:val="en-GB"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14804"/>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F14804"/>
    <w:rPr>
      <w:kern w:val="0"/>
      <w14:ligatures w14:val="none"/>
    </w:rPr>
  </w:style>
  <w:style w:type="paragraph" w:styleId="Footer">
    <w:name w:val="footer"/>
    <w:basedOn w:val="Normal"/>
    <w:link w:val="FooterChar"/>
    <w:uiPriority w:val="99"/>
    <w:unhideWhenUsed/>
    <w:rsid w:val="00F14804"/>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F14804"/>
    <w:rPr>
      <w:kern w:val="0"/>
      <w14:ligatures w14:val="none"/>
    </w:rPr>
  </w:style>
  <w:style w:type="character" w:styleId="Hyperlink">
    <w:name w:val="Hyperlink"/>
    <w:basedOn w:val="DefaultParagraphFont"/>
    <w:uiPriority w:val="99"/>
    <w:unhideWhenUsed/>
    <w:rsid w:val="00F14804"/>
    <w:rPr>
      <w:color w:val="0000FF"/>
      <w:u w:val="single"/>
    </w:rPr>
  </w:style>
  <w:style w:type="paragraph" w:styleId="NoSpacing">
    <w:name w:val="No Spacing"/>
    <w:uiPriority w:val="1"/>
    <w:qFormat/>
    <w:rsid w:val="00F14804"/>
    <w:pPr>
      <w:spacing w:after="0" w:line="240" w:lineRule="auto"/>
    </w:pPr>
    <w:rPr>
      <w:kern w:val="0"/>
      <w14:ligatures w14:val="none"/>
    </w:rPr>
  </w:style>
  <w:style w:type="character" w:styleId="Emphasis">
    <w:name w:val="Emphasis"/>
    <w:basedOn w:val="DefaultParagraphFont"/>
    <w:uiPriority w:val="20"/>
    <w:qFormat/>
    <w:rsid w:val="00F14804"/>
    <w:rPr>
      <w:i/>
      <w:iCs/>
    </w:rPr>
  </w:style>
  <w:style w:type="paragraph" w:styleId="BodyText">
    <w:name w:val="Body Text"/>
    <w:basedOn w:val="Normal"/>
    <w:link w:val="BodyTextChar"/>
    <w:uiPriority w:val="1"/>
    <w:qFormat/>
    <w:rsid w:val="00F14804"/>
    <w:pPr>
      <w:widowControl w:val="0"/>
      <w:autoSpaceDE w:val="0"/>
      <w:autoSpaceDN w:val="0"/>
      <w:spacing w:after="0" w:line="240" w:lineRule="auto"/>
      <w:ind w:left="23"/>
    </w:pPr>
    <w:rPr>
      <w:rFonts w:eastAsia="Times New Roman" w:cs="Times New Roman"/>
      <w:szCs w:val="24"/>
      <w:lang w:val="en-US"/>
    </w:rPr>
  </w:style>
  <w:style w:type="character" w:customStyle="1" w:styleId="BodyTextChar">
    <w:name w:val="Body Text Char"/>
    <w:basedOn w:val="DefaultParagraphFont"/>
    <w:link w:val="BodyText"/>
    <w:uiPriority w:val="1"/>
    <w:rsid w:val="00F14804"/>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14804"/>
    <w:rPr>
      <w:sz w:val="16"/>
      <w:szCs w:val="16"/>
    </w:rPr>
  </w:style>
  <w:style w:type="paragraph" w:styleId="CommentText">
    <w:name w:val="annotation text"/>
    <w:basedOn w:val="Normal"/>
    <w:link w:val="CommentTextChar"/>
    <w:uiPriority w:val="99"/>
    <w:semiHidden/>
    <w:unhideWhenUsed/>
    <w:rsid w:val="00F14804"/>
    <w:pPr>
      <w:spacing w:line="240" w:lineRule="auto"/>
      <w:jc w:val="left"/>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F14804"/>
    <w:rPr>
      <w:rFonts w:eastAsiaTheme="minorEastAsia"/>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terraneanpublications.com/mejfrbd/article/view/365" TargetMode="External"/><Relationship Id="rId3" Type="http://schemas.openxmlformats.org/officeDocument/2006/relationships/settings" Target="settings.xml"/><Relationship Id="rId7" Type="http://schemas.openxmlformats.org/officeDocument/2006/relationships/hyperlink" Target="https://hummingbirdjournals.com/jcer/article/view/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5532</Words>
  <Characters>31535</Characters>
  <Application>Microsoft Office Word</Application>
  <DocSecurity>0</DocSecurity>
  <Lines>262</Lines>
  <Paragraphs>73</Paragraphs>
  <ScaleCrop>false</ScaleCrop>
  <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2025-11-14T18:24:00Z</dcterms:created>
  <dcterms:modified xsi:type="dcterms:W3CDTF">2025-11-14T18:40:00Z</dcterms:modified>
</cp:coreProperties>
</file>